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方正小标宋简体" w:eastAsia="方正小标宋简体" w:cs="方正小标宋简体"/>
          <w:sz w:val="32"/>
          <w:szCs w:val="32"/>
        </w:rPr>
      </w:pPr>
      <w:bookmarkStart w:id="0" w:name="_Toc49507308"/>
      <w:r>
        <w:rPr>
          <w:rFonts w:hint="eastAsia" w:ascii="黑体" w:hAnsi="黑体" w:eastAsia="黑体" w:cs="黑体"/>
          <w:sz w:val="32"/>
          <w:szCs w:val="32"/>
        </w:rPr>
        <w:t>附件1</w:t>
      </w:r>
      <w:bookmarkEnd w:id="0"/>
    </w:p>
    <w:p>
      <w:pPr>
        <w:spacing w:line="580" w:lineRule="exact"/>
        <w:jc w:val="center"/>
        <w:rPr>
          <w:rFonts w:ascii="方正小标宋简体" w:hAnsi="方正小标宋简体" w:eastAsia="方正小标宋简体" w:cs="方正小标宋简体"/>
          <w:sz w:val="44"/>
          <w:szCs w:val="44"/>
        </w:rPr>
      </w:pPr>
    </w:p>
    <w:p>
      <w:pPr>
        <w:widowControl/>
        <w:adjustRightInd w:val="0"/>
        <w:snapToGrid w:val="0"/>
        <w:spacing w:line="580" w:lineRule="exact"/>
        <w:jc w:val="center"/>
        <w:rPr>
          <w:rFonts w:ascii="方正小标宋简体" w:hAnsi="宋体" w:eastAsia="方正小标宋简体"/>
          <w:sz w:val="44"/>
          <w:szCs w:val="44"/>
          <w:shd w:val="clear" w:color="auto" w:fill="FFFFFF"/>
        </w:rPr>
      </w:pPr>
      <w:bookmarkStart w:id="2" w:name="_GoBack"/>
      <w:r>
        <w:rPr>
          <w:rFonts w:hint="eastAsia" w:ascii="方正小标宋简体" w:hAnsi="宋体" w:eastAsia="方正小标宋简体"/>
          <w:sz w:val="44"/>
          <w:szCs w:val="44"/>
          <w:shd w:val="clear" w:color="auto" w:fill="FFFFFF"/>
        </w:rPr>
        <w:t>四川省中医药管理局</w:t>
      </w:r>
    </w:p>
    <w:p>
      <w:pPr>
        <w:widowControl/>
        <w:adjustRightInd w:val="0"/>
        <w:snapToGrid w:val="0"/>
        <w:spacing w:line="580" w:lineRule="exact"/>
        <w:jc w:val="center"/>
        <w:rPr>
          <w:rFonts w:ascii="方正小标宋简体" w:hAnsi="仿宋" w:eastAsia="方正小标宋简体"/>
          <w:color w:val="000000"/>
          <w:kern w:val="0"/>
          <w:szCs w:val="32"/>
          <w:shd w:val="clear" w:color="auto" w:fill="FFFFFF"/>
        </w:rPr>
      </w:pPr>
      <w:r>
        <w:rPr>
          <w:rFonts w:hint="eastAsia" w:ascii="方正小标宋简体" w:hAnsi="宋体" w:eastAsia="方正小标宋简体"/>
          <w:sz w:val="44"/>
          <w:szCs w:val="44"/>
          <w:shd w:val="clear" w:color="auto" w:fill="FFFFFF"/>
        </w:rPr>
        <w:t>2019年部门整体支出绩效评价报告</w:t>
      </w:r>
    </w:p>
    <w:bookmarkEnd w:id="2"/>
    <w:p>
      <w:pPr>
        <w:widowControl/>
        <w:adjustRightInd w:val="0"/>
        <w:snapToGrid w:val="0"/>
        <w:spacing w:line="580" w:lineRule="exact"/>
        <w:ind w:firstLine="720"/>
        <w:jc w:val="left"/>
        <w:rPr>
          <w:rFonts w:ascii="仿宋" w:hAnsi="仿宋" w:eastAsia="仿宋"/>
          <w:color w:val="000000"/>
          <w:kern w:val="0"/>
          <w:szCs w:val="32"/>
          <w:shd w:val="clear" w:color="auto" w:fill="FFFFFF"/>
        </w:rPr>
      </w:pPr>
    </w:p>
    <w:p>
      <w:pPr>
        <w:widowControl/>
        <w:adjustRightInd w:val="0"/>
        <w:snapToGrid w:val="0"/>
        <w:spacing w:line="580" w:lineRule="exact"/>
        <w:ind w:firstLine="720"/>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pStyle w:val="3"/>
        <w:adjustRightInd w:val="0"/>
        <w:snapToGrid w:val="0"/>
        <w:spacing w:before="93" w:line="580" w:lineRule="exact"/>
        <w:ind w:firstLine="675" w:firstLineChars="210"/>
        <w:rPr>
          <w:rFonts w:ascii="楷体" w:hAnsi="楷体" w:eastAsia="楷体" w:cs="宋体"/>
          <w:b/>
          <w:color w:val="000000"/>
          <w:sz w:val="32"/>
          <w:szCs w:val="32"/>
          <w:shd w:val="clear" w:color="auto" w:fill="FFFFFF"/>
          <w:lang w:val="zh-CN"/>
        </w:rPr>
      </w:pPr>
      <w:r>
        <w:rPr>
          <w:rFonts w:hint="eastAsia" w:ascii="楷体" w:hAnsi="楷体" w:eastAsia="楷体" w:cs="宋体"/>
          <w:b/>
          <w:color w:val="000000"/>
          <w:sz w:val="32"/>
          <w:szCs w:val="32"/>
          <w:shd w:val="clear" w:color="auto" w:fill="FFFFFF"/>
          <w:lang w:val="zh-CN"/>
        </w:rPr>
        <w:t>（一）机构组成。</w:t>
      </w:r>
    </w:p>
    <w:p>
      <w:pPr>
        <w:pStyle w:val="2"/>
        <w:spacing w:before="0" w:after="0" w:line="600" w:lineRule="exact"/>
        <w:ind w:firstLine="640" w:firstLineChars="200"/>
        <w:rPr>
          <w:rFonts w:ascii="仿宋" w:hAnsi="仿宋" w:eastAsia="仿宋"/>
          <w:b w:val="0"/>
          <w:bCs w:val="0"/>
          <w:color w:val="000000"/>
          <w:kern w:val="0"/>
          <w:sz w:val="32"/>
          <w:szCs w:val="32"/>
          <w:shd w:val="clear" w:color="auto" w:fill="FFFFFF"/>
        </w:rPr>
      </w:pPr>
      <w:bookmarkStart w:id="1" w:name="_Toc49507309"/>
      <w:r>
        <w:rPr>
          <w:rFonts w:hint="eastAsia" w:ascii="仿宋" w:hAnsi="仿宋" w:eastAsia="仿宋"/>
          <w:b w:val="0"/>
          <w:bCs w:val="0"/>
          <w:color w:val="000000"/>
          <w:kern w:val="0"/>
          <w:sz w:val="32"/>
          <w:szCs w:val="32"/>
          <w:shd w:val="clear" w:color="auto" w:fill="FFFFFF"/>
        </w:rPr>
        <w:t>四川省中医药管理局部门是由四川省中医药管理局局机关、四川省中医药管理局规划财务处、四川省中医药发展服务中心、</w:t>
      </w:r>
      <w:r>
        <w:fldChar w:fldCharType="begin"/>
      </w:r>
      <w:r>
        <w:instrText xml:space="preserve"> HYPERLINK "http://www.sacms.com.cn/" \t "_blank" \o "四川省中医药科学院（省中药研究所）" </w:instrText>
      </w:r>
      <w:r>
        <w:fldChar w:fldCharType="separate"/>
      </w:r>
      <w:r>
        <w:rPr>
          <w:rFonts w:hint="eastAsia" w:ascii="仿宋" w:hAnsi="仿宋" w:eastAsia="仿宋"/>
          <w:b w:val="0"/>
          <w:bCs w:val="0"/>
          <w:kern w:val="0"/>
          <w:sz w:val="32"/>
          <w:szCs w:val="32"/>
          <w:shd w:val="clear" w:color="auto" w:fill="FFFFFF"/>
        </w:rPr>
        <w:t>四川省中医药科学院、</w:t>
      </w:r>
      <w:r>
        <w:rPr>
          <w:rFonts w:hint="eastAsia" w:ascii="仿宋" w:hAnsi="仿宋" w:eastAsia="仿宋"/>
          <w:b w:val="0"/>
          <w:bCs w:val="0"/>
          <w:kern w:val="0"/>
          <w:sz w:val="32"/>
          <w:szCs w:val="32"/>
          <w:shd w:val="clear" w:color="auto" w:fill="FFFFFF"/>
        </w:rPr>
        <w:fldChar w:fldCharType="end"/>
      </w:r>
      <w:r>
        <w:rPr>
          <w:rFonts w:hint="eastAsia" w:ascii="仿宋" w:hAnsi="仿宋" w:eastAsia="仿宋"/>
          <w:b w:val="0"/>
          <w:bCs w:val="0"/>
          <w:color w:val="000000"/>
          <w:kern w:val="0"/>
          <w:sz w:val="32"/>
          <w:szCs w:val="32"/>
          <w:shd w:val="clear" w:color="auto" w:fill="FFFFFF"/>
        </w:rPr>
        <w:t>四川省中医药转化中心</w:t>
      </w:r>
      <w:r>
        <w:rPr>
          <w:rFonts w:ascii="仿宋" w:hAnsi="仿宋" w:eastAsia="仿宋"/>
          <w:b w:val="0"/>
          <w:bCs w:val="0"/>
          <w:color w:val="000000"/>
          <w:kern w:val="0"/>
          <w:sz w:val="32"/>
          <w:szCs w:val="32"/>
          <w:shd w:val="clear" w:color="auto" w:fill="FFFFFF"/>
        </w:rPr>
        <w:t>、</w:t>
      </w:r>
      <w:r>
        <w:fldChar w:fldCharType="begin"/>
      </w:r>
      <w:r>
        <w:instrText xml:space="preserve"> HYPERLINK "http://scsgkyy.com/" \t "_blank" \o "四川省骨科医院" </w:instrText>
      </w:r>
      <w:r>
        <w:fldChar w:fldCharType="separate"/>
      </w:r>
      <w:r>
        <w:rPr>
          <w:rFonts w:hint="eastAsia" w:ascii="仿宋" w:hAnsi="仿宋" w:eastAsia="仿宋"/>
          <w:b w:val="0"/>
          <w:bCs w:val="0"/>
          <w:kern w:val="0"/>
          <w:sz w:val="32"/>
          <w:szCs w:val="32"/>
          <w:shd w:val="clear" w:color="auto" w:fill="FFFFFF"/>
        </w:rPr>
        <w:t>四川省骨科医院</w:t>
      </w:r>
      <w:r>
        <w:rPr>
          <w:rFonts w:hint="eastAsia" w:ascii="仿宋" w:hAnsi="仿宋" w:eastAsia="仿宋"/>
          <w:b w:val="0"/>
          <w:bCs w:val="0"/>
          <w:kern w:val="0"/>
          <w:sz w:val="32"/>
          <w:szCs w:val="32"/>
          <w:shd w:val="clear" w:color="auto" w:fill="FFFFFF"/>
        </w:rPr>
        <w:fldChar w:fldCharType="end"/>
      </w:r>
      <w:r>
        <w:rPr>
          <w:rFonts w:ascii="仿宋" w:hAnsi="仿宋" w:eastAsia="仿宋"/>
          <w:b w:val="0"/>
          <w:bCs w:val="0"/>
          <w:color w:val="000000"/>
          <w:kern w:val="0"/>
          <w:sz w:val="32"/>
          <w:szCs w:val="32"/>
          <w:shd w:val="clear" w:color="auto" w:fill="FFFFFF"/>
        </w:rPr>
        <w:t>、</w:t>
      </w:r>
      <w:r>
        <w:rPr>
          <w:rFonts w:hint="eastAsia" w:ascii="仿宋" w:hAnsi="仿宋" w:eastAsia="仿宋"/>
          <w:b w:val="0"/>
          <w:bCs w:val="0"/>
          <w:color w:val="000000"/>
          <w:kern w:val="0"/>
          <w:sz w:val="32"/>
          <w:szCs w:val="32"/>
          <w:shd w:val="clear" w:color="auto" w:fill="FFFFFF"/>
        </w:rPr>
        <w:t>四川省中西医结合医院、</w:t>
      </w:r>
      <w:r>
        <w:fldChar w:fldCharType="begin"/>
      </w:r>
      <w:r>
        <w:instrText xml:space="preserve"> HYPERLINK "http://www.sctcm120.com/" \t "_blank" \o "成都中医药大学附属医院（四川省中医医院）" </w:instrText>
      </w:r>
      <w:r>
        <w:fldChar w:fldCharType="separate"/>
      </w:r>
      <w:r>
        <w:rPr>
          <w:rFonts w:hint="eastAsia" w:ascii="仿宋" w:hAnsi="仿宋" w:eastAsia="仿宋"/>
          <w:b w:val="0"/>
          <w:bCs w:val="0"/>
          <w:kern w:val="0"/>
          <w:sz w:val="32"/>
          <w:szCs w:val="32"/>
          <w:shd w:val="clear" w:color="auto" w:fill="FFFFFF"/>
        </w:rPr>
        <w:t>成都中医药大学附属医院（四川省中医医院）</w:t>
      </w:r>
      <w:r>
        <w:rPr>
          <w:rFonts w:hint="eastAsia" w:ascii="仿宋" w:hAnsi="仿宋" w:eastAsia="仿宋"/>
          <w:b w:val="0"/>
          <w:bCs w:val="0"/>
          <w:kern w:val="0"/>
          <w:sz w:val="32"/>
          <w:szCs w:val="32"/>
          <w:shd w:val="clear" w:color="auto" w:fill="FFFFFF"/>
        </w:rPr>
        <w:fldChar w:fldCharType="end"/>
      </w:r>
      <w:r>
        <w:rPr>
          <w:rFonts w:ascii="仿宋" w:hAnsi="仿宋" w:eastAsia="仿宋"/>
          <w:b w:val="0"/>
          <w:bCs w:val="0"/>
          <w:color w:val="000000"/>
          <w:kern w:val="0"/>
          <w:sz w:val="32"/>
          <w:szCs w:val="32"/>
          <w:shd w:val="clear" w:color="auto" w:fill="FFFFFF"/>
        </w:rPr>
        <w:t>、</w:t>
      </w:r>
      <w:r>
        <w:fldChar w:fldCharType="begin"/>
      </w:r>
      <w:r>
        <w:instrText xml:space="preserve"> HYPERLINK "http://www.sacms.com.cn/" \t "_blank" \o "四川省中医药科学院中医研究所（四川省第二中医医院、省中医药科学院针灸经络研究所）" </w:instrText>
      </w:r>
      <w:r>
        <w:fldChar w:fldCharType="separate"/>
      </w:r>
      <w:r>
        <w:rPr>
          <w:rFonts w:hint="eastAsia" w:ascii="仿宋" w:hAnsi="仿宋" w:eastAsia="仿宋"/>
          <w:b w:val="0"/>
          <w:bCs w:val="0"/>
          <w:kern w:val="0"/>
          <w:sz w:val="32"/>
          <w:szCs w:val="32"/>
          <w:shd w:val="clear" w:color="auto" w:fill="FFFFFF"/>
        </w:rPr>
        <w:t>四川省中医药科学院中医研究所</w:t>
      </w:r>
      <w:r>
        <w:rPr>
          <w:rFonts w:hint="eastAsia" w:ascii="仿宋" w:hAnsi="仿宋" w:eastAsia="仿宋"/>
          <w:b w:val="0"/>
          <w:bCs w:val="0"/>
          <w:kern w:val="0"/>
          <w:sz w:val="32"/>
          <w:szCs w:val="32"/>
          <w:shd w:val="clear" w:color="auto" w:fill="FFFFFF"/>
        </w:rPr>
        <w:fldChar w:fldCharType="end"/>
      </w:r>
      <w:r>
        <w:rPr>
          <w:rFonts w:ascii="仿宋" w:hAnsi="仿宋" w:eastAsia="仿宋"/>
          <w:b w:val="0"/>
          <w:bCs w:val="0"/>
          <w:color w:val="000000"/>
          <w:kern w:val="0"/>
          <w:sz w:val="32"/>
          <w:szCs w:val="32"/>
          <w:shd w:val="clear" w:color="auto" w:fill="FFFFFF"/>
        </w:rPr>
        <w:t>、</w:t>
      </w:r>
      <w:r>
        <w:fldChar w:fldCharType="begin"/>
      </w:r>
      <w:r>
        <w:instrText xml:space="preserve"> HYPERLINK "http://www.lzmctcm.com/index.html" \t "_blank" \o "西南医科大学附属中医医院" </w:instrText>
      </w:r>
      <w:r>
        <w:fldChar w:fldCharType="separate"/>
      </w:r>
      <w:r>
        <w:rPr>
          <w:rFonts w:hint="eastAsia" w:ascii="仿宋" w:hAnsi="仿宋" w:eastAsia="仿宋"/>
          <w:b w:val="0"/>
          <w:bCs w:val="0"/>
          <w:kern w:val="0"/>
          <w:sz w:val="32"/>
          <w:szCs w:val="32"/>
          <w:shd w:val="clear" w:color="auto" w:fill="FFFFFF"/>
        </w:rPr>
        <w:t>西南医科大学附属中医医院</w:t>
      </w:r>
      <w:r>
        <w:rPr>
          <w:rFonts w:hint="eastAsia" w:ascii="仿宋" w:hAnsi="仿宋" w:eastAsia="仿宋"/>
          <w:b w:val="0"/>
          <w:bCs w:val="0"/>
          <w:kern w:val="0"/>
          <w:sz w:val="32"/>
          <w:szCs w:val="32"/>
          <w:shd w:val="clear" w:color="auto" w:fill="FFFFFF"/>
        </w:rPr>
        <w:fldChar w:fldCharType="end"/>
      </w:r>
      <w:r>
        <w:rPr>
          <w:rFonts w:ascii="仿宋" w:hAnsi="仿宋" w:eastAsia="仿宋"/>
          <w:b w:val="0"/>
          <w:bCs w:val="0"/>
          <w:color w:val="000000"/>
          <w:kern w:val="0"/>
          <w:sz w:val="32"/>
          <w:szCs w:val="32"/>
          <w:shd w:val="clear" w:color="auto" w:fill="FFFFFF"/>
        </w:rPr>
        <w:t>、</w:t>
      </w:r>
      <w:r>
        <w:fldChar w:fldCharType="begin"/>
      </w:r>
      <w:r>
        <w:instrText xml:space="preserve"> HYPERLINK "http://www.scszjxx.com/" \t "_blank" \o "成都中医药大学附属医院针灸学校（四川省针灸学校）" </w:instrText>
      </w:r>
      <w:r>
        <w:fldChar w:fldCharType="separate"/>
      </w:r>
      <w:r>
        <w:rPr>
          <w:rFonts w:hint="eastAsia" w:ascii="仿宋" w:hAnsi="仿宋" w:eastAsia="仿宋"/>
          <w:b w:val="0"/>
          <w:bCs w:val="0"/>
          <w:kern w:val="0"/>
          <w:sz w:val="32"/>
          <w:szCs w:val="32"/>
          <w:shd w:val="clear" w:color="auto" w:fill="FFFFFF"/>
        </w:rPr>
        <w:t>成都中医药大学附属医院针灸学校（四川省针灸学校）</w:t>
      </w:r>
      <w:r>
        <w:rPr>
          <w:rFonts w:hint="eastAsia" w:ascii="仿宋" w:hAnsi="仿宋" w:eastAsia="仿宋"/>
          <w:b w:val="0"/>
          <w:bCs w:val="0"/>
          <w:kern w:val="0"/>
          <w:sz w:val="32"/>
          <w:szCs w:val="32"/>
          <w:shd w:val="clear" w:color="auto" w:fill="FFFFFF"/>
        </w:rPr>
        <w:fldChar w:fldCharType="end"/>
      </w:r>
      <w:r>
        <w:rPr>
          <w:rFonts w:ascii="仿宋" w:hAnsi="仿宋" w:eastAsia="仿宋"/>
          <w:b w:val="0"/>
          <w:bCs w:val="0"/>
          <w:color w:val="000000"/>
          <w:kern w:val="0"/>
          <w:sz w:val="32"/>
          <w:szCs w:val="32"/>
          <w:shd w:val="clear" w:color="auto" w:fill="FFFFFF"/>
        </w:rPr>
        <w:t>、</w:t>
      </w:r>
      <w:r>
        <w:rPr>
          <w:rFonts w:hint="eastAsia" w:ascii="仿宋" w:hAnsi="仿宋" w:eastAsia="仿宋"/>
          <w:b w:val="0"/>
          <w:bCs w:val="0"/>
          <w:color w:val="000000"/>
          <w:kern w:val="0"/>
          <w:sz w:val="32"/>
          <w:szCs w:val="32"/>
          <w:shd w:val="clear" w:color="auto" w:fill="FFFFFF"/>
        </w:rPr>
        <w:t>成都中医药大学附属第二医院筹建处共12个二级预算单位组成。</w:t>
      </w:r>
      <w:bookmarkEnd w:id="1"/>
    </w:p>
    <w:p>
      <w:pPr>
        <w:pStyle w:val="3"/>
        <w:adjustRightInd w:val="0"/>
        <w:snapToGrid w:val="0"/>
        <w:spacing w:before="93" w:line="580" w:lineRule="exact"/>
        <w:ind w:firstLine="675" w:firstLineChars="210"/>
        <w:rPr>
          <w:rFonts w:ascii="楷体" w:hAnsi="楷体" w:eastAsia="楷体" w:cs="宋体"/>
          <w:b/>
          <w:color w:val="000000"/>
          <w:sz w:val="32"/>
          <w:szCs w:val="32"/>
          <w:shd w:val="clear" w:color="auto" w:fill="FFFFFF"/>
          <w:lang w:val="zh-CN"/>
        </w:rPr>
      </w:pPr>
      <w:r>
        <w:rPr>
          <w:rFonts w:hint="eastAsia" w:ascii="楷体" w:hAnsi="楷体" w:eastAsia="楷体" w:cs="宋体"/>
          <w:b/>
          <w:color w:val="000000"/>
          <w:sz w:val="32"/>
          <w:szCs w:val="32"/>
          <w:shd w:val="clear" w:color="auto" w:fill="FFFFFF"/>
          <w:lang w:val="zh-CN"/>
        </w:rPr>
        <w:t>（二）机构职能。</w:t>
      </w:r>
    </w:p>
    <w:p>
      <w:pPr>
        <w:pStyle w:val="3"/>
        <w:adjustRightInd w:val="0"/>
        <w:snapToGrid w:val="0"/>
        <w:spacing w:before="93" w:line="600" w:lineRule="exact"/>
        <w:ind w:firstLine="672" w:firstLineChars="21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贯彻执行国家中医药（含中西医结合和民族医药，下同）工作法律、法规和方针、政策，拟订有关地方性法规规章、管理规范和技术标准并监督执行，参与重大中医药项目的规划和组织实施，对全省中医药工作实行行业管理。</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　　2.承担全省中医医疗、预防、保健、康复及临床用药等的监督管理责任，规划、指导和协调全省中医医疗、科研机构的结构布局及其运行机制的改革，监督执行各类中医医疗、保健等机构管理规范和技术标准，拟订全省中医药人员服务规范和职业道德规范，促进全省中医药行业作风建设。</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　　3.指导农村和社区卫生服务中的中医药工作和全省民族医药的理论、医术、药物的发掘、整理、总结和提高，监督和协调全省医疗、研究机构的中西医结合工作。</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　　4.组织开展全省中药资源普查，促进中药资源的保护、开发和合理利用，参与制订全省中药产业发展规划、产业政策和中医药的扶持政策，参与全省基本药物制度建设。</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　　5.组织拟订全省中医药人才发展规划，参与拟订中医药教育发展规划和中医药专业技术人员资格标准并组织实施，会同有关部门组织开展中医药师承教育、继续教育和相关人才培训工作，参与指导全省中医药教育教学改革。</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　　6.拟订和组织实施全省中医药科学研究、技术开发规划，指导中医药科研条件和能力建设，管理全省的国家和省重点中医药科研项目，促进中医药科技成果的转化、应用和推广。</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　　7.承担保护全省濒临消亡的中医诊疗技术和中药生产加工技术的责任，组织开展对中医古籍的整理研究和中医药文化的继承发展，提出保护中医非物质文化遗产的建议，推动中医药防病治病知识普及。</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　　8.指导全省中医药界与国际和港澳台地区的交流合作，促进中医药技术的国际推广、应用和传播。</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　　9.承担省政府公布的有关行政审批事项。</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　　10.承办省政府及卫生厅交办的其他事项。</w:t>
      </w:r>
    </w:p>
    <w:p>
      <w:pPr>
        <w:pStyle w:val="3"/>
        <w:adjustRightInd w:val="0"/>
        <w:snapToGrid w:val="0"/>
        <w:spacing w:before="93" w:line="580" w:lineRule="exact"/>
        <w:ind w:firstLine="675" w:firstLineChars="210"/>
        <w:rPr>
          <w:rFonts w:ascii="楷体" w:hAnsi="楷体" w:eastAsia="楷体" w:cs="宋体"/>
          <w:b/>
          <w:color w:val="000000"/>
          <w:sz w:val="32"/>
          <w:szCs w:val="32"/>
          <w:shd w:val="clear" w:color="auto" w:fill="FFFFFF"/>
          <w:lang w:val="zh-CN"/>
        </w:rPr>
      </w:pPr>
      <w:r>
        <w:rPr>
          <w:rFonts w:hint="eastAsia" w:ascii="楷体" w:hAnsi="楷体" w:eastAsia="楷体" w:cs="宋体"/>
          <w:b/>
          <w:color w:val="000000"/>
          <w:sz w:val="32"/>
          <w:szCs w:val="32"/>
          <w:shd w:val="clear" w:color="auto" w:fill="FFFFFF"/>
          <w:lang w:val="zh-CN"/>
        </w:rPr>
        <w:t>（三）人员概况。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四川省中医药管理局部门2019年度末，实有在职人数2491人，其中行政人员74名，非参公事业人员483人，经费自理在职人员1934人。</w:t>
      </w:r>
    </w:p>
    <w:p>
      <w:pPr>
        <w:spacing w:line="600" w:lineRule="exact"/>
        <w:ind w:firstLine="640" w:firstLineChars="200"/>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lang w:val="zh-CN"/>
        </w:rPr>
        <w:t>二、部门财政资金收支情况</w:t>
      </w:r>
    </w:p>
    <w:p>
      <w:pPr>
        <w:spacing w:line="600" w:lineRule="exact"/>
        <w:ind w:firstLine="482" w:firstLineChars="150"/>
        <w:rPr>
          <w:rFonts w:ascii="楷体" w:hAnsi="楷体" w:eastAsia="楷体"/>
          <w:b/>
          <w:sz w:val="32"/>
          <w:szCs w:val="32"/>
        </w:rPr>
      </w:pPr>
      <w:r>
        <w:rPr>
          <w:rFonts w:hint="eastAsia" w:ascii="楷体" w:hAnsi="楷体" w:eastAsia="楷体"/>
          <w:b/>
          <w:sz w:val="32"/>
          <w:szCs w:val="32"/>
        </w:rPr>
        <w:t>（一）部门财政资金收入情况。</w:t>
      </w:r>
    </w:p>
    <w:p>
      <w:pPr>
        <w:spacing w:line="600" w:lineRule="exact"/>
        <w:ind w:firstLine="800" w:firstLineChars="250"/>
        <w:rPr>
          <w:rFonts w:ascii="仿宋" w:hAnsi="仿宋" w:eastAsia="仿宋"/>
          <w:color w:val="000000"/>
          <w:kern w:val="0"/>
          <w:sz w:val="32"/>
          <w:szCs w:val="32"/>
          <w:shd w:val="clear" w:color="auto" w:fill="FFFFFF"/>
        </w:rPr>
      </w:pPr>
      <w:r>
        <w:rPr>
          <w:rFonts w:hint="eastAsia" w:ascii="仿宋" w:hAnsi="仿宋" w:eastAsia="仿宋"/>
          <w:color w:val="000000"/>
          <w:kern w:val="0"/>
          <w:sz w:val="32"/>
          <w:szCs w:val="32"/>
          <w:shd w:val="clear" w:color="auto" w:fill="FFFFFF"/>
        </w:rPr>
        <w:t>2019年度本部门财政预算收入</w:t>
      </w:r>
      <w:r>
        <w:rPr>
          <w:rFonts w:ascii="仿宋" w:hAnsi="仿宋" w:eastAsia="仿宋"/>
          <w:color w:val="000000"/>
          <w:kern w:val="0"/>
          <w:sz w:val="32"/>
          <w:szCs w:val="32"/>
          <w:shd w:val="clear" w:color="auto" w:fill="FFFFFF"/>
        </w:rPr>
        <w:t>68,194.74</w:t>
      </w:r>
      <w:r>
        <w:rPr>
          <w:rFonts w:hint="eastAsia" w:ascii="仿宋" w:hAnsi="仿宋" w:eastAsia="仿宋"/>
          <w:color w:val="000000"/>
          <w:kern w:val="0"/>
          <w:sz w:val="32"/>
          <w:szCs w:val="32"/>
          <w:shd w:val="clear" w:color="auto" w:fill="FFFFFF"/>
        </w:rPr>
        <w:t>万元，其中一般公共预算财政收入</w:t>
      </w:r>
      <w:r>
        <w:rPr>
          <w:rFonts w:ascii="仿宋" w:hAnsi="仿宋" w:eastAsia="仿宋"/>
          <w:color w:val="000000"/>
          <w:kern w:val="0"/>
          <w:sz w:val="32"/>
          <w:szCs w:val="32"/>
          <w:shd w:val="clear" w:color="auto" w:fill="FFFFFF"/>
        </w:rPr>
        <w:t>68,144.47</w:t>
      </w:r>
      <w:r>
        <w:rPr>
          <w:rFonts w:hint="eastAsia" w:ascii="仿宋" w:hAnsi="仿宋" w:eastAsia="仿宋"/>
          <w:color w:val="000000"/>
          <w:kern w:val="0"/>
          <w:sz w:val="32"/>
          <w:szCs w:val="32"/>
          <w:shd w:val="clear" w:color="auto" w:fill="FFFFFF"/>
        </w:rPr>
        <w:t>万元，年初财政拨款结转和结余</w:t>
      </w:r>
      <w:r>
        <w:rPr>
          <w:rFonts w:ascii="仿宋" w:hAnsi="仿宋" w:eastAsia="仿宋"/>
          <w:color w:val="000000"/>
          <w:kern w:val="0"/>
          <w:sz w:val="32"/>
          <w:szCs w:val="32"/>
          <w:shd w:val="clear" w:color="auto" w:fill="FFFFFF"/>
        </w:rPr>
        <w:t>50.27</w:t>
      </w:r>
      <w:r>
        <w:rPr>
          <w:rFonts w:hint="eastAsia" w:ascii="仿宋" w:hAnsi="仿宋" w:eastAsia="仿宋"/>
          <w:color w:val="000000"/>
          <w:kern w:val="0"/>
          <w:sz w:val="32"/>
          <w:szCs w:val="32"/>
          <w:shd w:val="clear" w:color="auto" w:fill="FFFFFF"/>
        </w:rPr>
        <w:t>万元。</w:t>
      </w:r>
    </w:p>
    <w:p>
      <w:pPr>
        <w:spacing w:line="600" w:lineRule="exact"/>
        <w:ind w:firstLine="800" w:firstLineChars="250"/>
        <w:rPr>
          <w:rFonts w:ascii="仿宋" w:hAnsi="仿宋" w:eastAsia="仿宋"/>
          <w:color w:val="000000"/>
          <w:kern w:val="0"/>
          <w:sz w:val="32"/>
          <w:szCs w:val="32"/>
          <w:shd w:val="clear" w:color="auto" w:fill="FFFFFF"/>
        </w:rPr>
      </w:pPr>
      <w:r>
        <w:rPr>
          <w:rFonts w:hint="eastAsia" w:ascii="仿宋" w:hAnsi="仿宋" w:eastAsia="仿宋"/>
          <w:color w:val="000000"/>
          <w:kern w:val="0"/>
          <w:sz w:val="32"/>
          <w:szCs w:val="32"/>
          <w:shd w:val="clear" w:color="auto" w:fill="FFFFFF"/>
        </w:rPr>
        <w:t>2019年度本部门财政决算收入总计</w:t>
      </w:r>
      <w:r>
        <w:rPr>
          <w:rFonts w:ascii="仿宋" w:hAnsi="仿宋" w:eastAsia="仿宋"/>
          <w:color w:val="000000"/>
          <w:kern w:val="0"/>
          <w:sz w:val="32"/>
          <w:szCs w:val="32"/>
          <w:shd w:val="clear" w:color="auto" w:fill="FFFFFF"/>
        </w:rPr>
        <w:t>63,481.42万</w:t>
      </w:r>
      <w:r>
        <w:rPr>
          <w:rFonts w:hint="eastAsia" w:ascii="仿宋" w:hAnsi="仿宋" w:eastAsia="仿宋"/>
          <w:color w:val="000000"/>
          <w:kern w:val="0"/>
          <w:sz w:val="32"/>
          <w:szCs w:val="32"/>
          <w:shd w:val="clear" w:color="auto" w:fill="FFFFFF"/>
        </w:rPr>
        <w:t>元，其中一般公共预算财政收入</w:t>
      </w:r>
      <w:r>
        <w:rPr>
          <w:rFonts w:ascii="仿宋" w:hAnsi="仿宋" w:eastAsia="仿宋"/>
          <w:color w:val="000000"/>
          <w:kern w:val="0"/>
          <w:sz w:val="32"/>
          <w:szCs w:val="32"/>
          <w:shd w:val="clear" w:color="auto" w:fill="FFFFFF"/>
        </w:rPr>
        <w:t>63,467.16万</w:t>
      </w:r>
      <w:r>
        <w:rPr>
          <w:rFonts w:hint="eastAsia" w:ascii="仿宋" w:hAnsi="仿宋" w:eastAsia="仿宋"/>
          <w:color w:val="000000"/>
          <w:kern w:val="0"/>
          <w:sz w:val="32"/>
          <w:szCs w:val="32"/>
          <w:shd w:val="clear" w:color="auto" w:fill="FFFFFF"/>
        </w:rPr>
        <w:t>元，年初财政拨款结转和结余</w:t>
      </w:r>
      <w:r>
        <w:rPr>
          <w:rFonts w:ascii="仿宋" w:hAnsi="仿宋" w:eastAsia="仿宋"/>
          <w:color w:val="000000"/>
          <w:kern w:val="0"/>
          <w:sz w:val="32"/>
          <w:szCs w:val="32"/>
          <w:shd w:val="clear" w:color="auto" w:fill="FFFFFF"/>
        </w:rPr>
        <w:t>14.26</w:t>
      </w:r>
      <w:r>
        <w:rPr>
          <w:rFonts w:hint="eastAsia" w:ascii="仿宋" w:hAnsi="仿宋" w:eastAsia="仿宋"/>
          <w:color w:val="000000"/>
          <w:kern w:val="0"/>
          <w:sz w:val="32"/>
          <w:szCs w:val="32"/>
          <w:shd w:val="clear" w:color="auto" w:fill="FFFFFF"/>
        </w:rPr>
        <w:t>万元。</w:t>
      </w:r>
    </w:p>
    <w:p>
      <w:pPr>
        <w:spacing w:line="600" w:lineRule="exact"/>
        <w:ind w:firstLine="482" w:firstLineChars="150"/>
        <w:rPr>
          <w:rFonts w:ascii="楷体" w:hAnsi="楷体" w:eastAsia="楷体"/>
          <w:b/>
          <w:sz w:val="32"/>
          <w:szCs w:val="32"/>
        </w:rPr>
      </w:pPr>
      <w:r>
        <w:rPr>
          <w:rFonts w:hint="eastAsia" w:ascii="楷体" w:hAnsi="楷体" w:eastAsia="楷体"/>
          <w:b/>
          <w:sz w:val="32"/>
          <w:szCs w:val="32"/>
        </w:rPr>
        <w:t>（二）部门财政资金支出情况。</w:t>
      </w:r>
    </w:p>
    <w:p>
      <w:pPr>
        <w:spacing w:line="600" w:lineRule="exact"/>
        <w:ind w:firstLine="800" w:firstLineChars="250"/>
        <w:rPr>
          <w:rFonts w:ascii="仿宋" w:hAnsi="仿宋" w:eastAsia="仿宋"/>
          <w:color w:val="000000"/>
          <w:kern w:val="0"/>
          <w:sz w:val="32"/>
          <w:szCs w:val="32"/>
          <w:shd w:val="clear" w:color="auto" w:fill="FFFFFF"/>
        </w:rPr>
      </w:pPr>
      <w:r>
        <w:rPr>
          <w:rFonts w:hint="eastAsia" w:ascii="仿宋" w:hAnsi="仿宋" w:eastAsia="仿宋"/>
          <w:color w:val="000000"/>
          <w:kern w:val="0"/>
          <w:sz w:val="32"/>
          <w:szCs w:val="32"/>
          <w:shd w:val="clear" w:color="auto" w:fill="FFFFFF"/>
        </w:rPr>
        <w:t>2019年度本部门财政资金预算支出</w:t>
      </w:r>
      <w:r>
        <w:rPr>
          <w:rFonts w:ascii="仿宋" w:hAnsi="仿宋" w:eastAsia="仿宋"/>
          <w:color w:val="000000"/>
          <w:kern w:val="0"/>
          <w:sz w:val="32"/>
          <w:szCs w:val="32"/>
          <w:shd w:val="clear" w:color="auto" w:fill="FFFFFF"/>
        </w:rPr>
        <w:t>68,194.74</w:t>
      </w:r>
      <w:r>
        <w:rPr>
          <w:rFonts w:hint="eastAsia" w:ascii="仿宋" w:hAnsi="仿宋" w:eastAsia="仿宋"/>
          <w:color w:val="000000"/>
          <w:kern w:val="0"/>
          <w:sz w:val="32"/>
          <w:szCs w:val="32"/>
          <w:shd w:val="clear" w:color="auto" w:fill="FFFFFF"/>
        </w:rPr>
        <w:t>万元，主要支出：一般公共服务支出</w:t>
      </w:r>
      <w:r>
        <w:rPr>
          <w:rFonts w:ascii="仿宋" w:hAnsi="仿宋" w:eastAsia="仿宋"/>
          <w:color w:val="000000"/>
          <w:kern w:val="0"/>
          <w:sz w:val="32"/>
          <w:szCs w:val="32"/>
          <w:shd w:val="clear" w:color="auto" w:fill="FFFFFF"/>
        </w:rPr>
        <w:t>16.58</w:t>
      </w:r>
      <w:r>
        <w:rPr>
          <w:rFonts w:hint="eastAsia" w:ascii="仿宋" w:hAnsi="仿宋" w:eastAsia="仿宋"/>
          <w:color w:val="000000"/>
          <w:kern w:val="0"/>
          <w:sz w:val="32"/>
          <w:szCs w:val="32"/>
          <w:shd w:val="clear" w:color="auto" w:fill="FFFFFF"/>
        </w:rPr>
        <w:t>万元、教育支出</w:t>
      </w:r>
      <w:r>
        <w:rPr>
          <w:rFonts w:ascii="仿宋" w:hAnsi="仿宋" w:eastAsia="仿宋"/>
          <w:color w:val="000000"/>
          <w:kern w:val="0"/>
          <w:sz w:val="32"/>
          <w:szCs w:val="32"/>
          <w:shd w:val="clear" w:color="auto" w:fill="FFFFFF"/>
        </w:rPr>
        <w:t>6,560.57</w:t>
      </w:r>
      <w:r>
        <w:rPr>
          <w:rFonts w:hint="eastAsia" w:ascii="仿宋" w:hAnsi="仿宋" w:eastAsia="仿宋"/>
          <w:color w:val="000000"/>
          <w:kern w:val="0"/>
          <w:sz w:val="32"/>
          <w:szCs w:val="32"/>
          <w:shd w:val="clear" w:color="auto" w:fill="FFFFFF"/>
        </w:rPr>
        <w:t>万元、科学技术支出</w:t>
      </w:r>
      <w:r>
        <w:rPr>
          <w:rFonts w:ascii="仿宋" w:hAnsi="仿宋" w:eastAsia="仿宋"/>
          <w:color w:val="000000"/>
          <w:kern w:val="0"/>
          <w:sz w:val="32"/>
          <w:szCs w:val="32"/>
          <w:shd w:val="clear" w:color="auto" w:fill="FFFFFF"/>
        </w:rPr>
        <w:t>8,207.48</w:t>
      </w:r>
      <w:r>
        <w:rPr>
          <w:rFonts w:hint="eastAsia" w:ascii="仿宋" w:hAnsi="仿宋" w:eastAsia="仿宋"/>
          <w:color w:val="000000"/>
          <w:kern w:val="0"/>
          <w:sz w:val="32"/>
          <w:szCs w:val="32"/>
          <w:shd w:val="clear" w:color="auto" w:fill="FFFFFF"/>
        </w:rPr>
        <w:t>万元、文化旅游体育与传媒支出</w:t>
      </w:r>
      <w:r>
        <w:rPr>
          <w:rFonts w:ascii="仿宋" w:hAnsi="仿宋" w:eastAsia="仿宋"/>
          <w:color w:val="000000"/>
          <w:kern w:val="0"/>
          <w:sz w:val="32"/>
          <w:szCs w:val="32"/>
          <w:shd w:val="clear" w:color="auto" w:fill="FFFFFF"/>
        </w:rPr>
        <w:t>2.00</w:t>
      </w:r>
      <w:r>
        <w:rPr>
          <w:rFonts w:hint="eastAsia" w:ascii="仿宋" w:hAnsi="仿宋" w:eastAsia="仿宋"/>
          <w:color w:val="000000"/>
          <w:kern w:val="0"/>
          <w:sz w:val="32"/>
          <w:szCs w:val="32"/>
          <w:shd w:val="clear" w:color="auto" w:fill="FFFFFF"/>
        </w:rPr>
        <w:t>万元、社会保障和就业支出</w:t>
      </w:r>
      <w:r>
        <w:rPr>
          <w:rFonts w:ascii="仿宋" w:hAnsi="仿宋" w:eastAsia="仿宋"/>
          <w:color w:val="000000"/>
          <w:kern w:val="0"/>
          <w:sz w:val="32"/>
          <w:szCs w:val="32"/>
          <w:shd w:val="clear" w:color="auto" w:fill="FFFFFF"/>
        </w:rPr>
        <w:t>2,798.27</w:t>
      </w:r>
      <w:r>
        <w:rPr>
          <w:rFonts w:hint="eastAsia" w:ascii="仿宋" w:hAnsi="仿宋" w:eastAsia="仿宋"/>
          <w:color w:val="000000"/>
          <w:kern w:val="0"/>
          <w:sz w:val="32"/>
          <w:szCs w:val="32"/>
          <w:shd w:val="clear" w:color="auto" w:fill="FFFFFF"/>
        </w:rPr>
        <w:t>万元、卫生健康支出</w:t>
      </w:r>
      <w:r>
        <w:rPr>
          <w:rFonts w:ascii="仿宋" w:hAnsi="仿宋" w:eastAsia="仿宋"/>
          <w:color w:val="000000"/>
          <w:kern w:val="0"/>
          <w:sz w:val="32"/>
          <w:szCs w:val="32"/>
          <w:shd w:val="clear" w:color="auto" w:fill="FFFFFF"/>
        </w:rPr>
        <w:t>49,798.59</w:t>
      </w:r>
      <w:r>
        <w:rPr>
          <w:rFonts w:hint="eastAsia" w:ascii="仿宋" w:hAnsi="仿宋" w:eastAsia="仿宋"/>
          <w:color w:val="000000"/>
          <w:kern w:val="0"/>
          <w:sz w:val="32"/>
          <w:szCs w:val="32"/>
          <w:shd w:val="clear" w:color="auto" w:fill="FFFFFF"/>
        </w:rPr>
        <w:t>万元、农林水支出</w:t>
      </w:r>
      <w:r>
        <w:rPr>
          <w:rFonts w:ascii="仿宋" w:hAnsi="仿宋" w:eastAsia="仿宋"/>
          <w:color w:val="000000"/>
          <w:kern w:val="0"/>
          <w:sz w:val="32"/>
          <w:szCs w:val="32"/>
          <w:shd w:val="clear" w:color="auto" w:fill="FFFFFF"/>
        </w:rPr>
        <w:t>79.30</w:t>
      </w:r>
      <w:r>
        <w:rPr>
          <w:rFonts w:hint="eastAsia" w:ascii="仿宋" w:hAnsi="仿宋" w:eastAsia="仿宋"/>
          <w:color w:val="000000"/>
          <w:kern w:val="0"/>
          <w:sz w:val="32"/>
          <w:szCs w:val="32"/>
          <w:shd w:val="clear" w:color="auto" w:fill="FFFFFF"/>
        </w:rPr>
        <w:t>万元、住房保障支出</w:t>
      </w:r>
      <w:r>
        <w:rPr>
          <w:rFonts w:ascii="仿宋" w:hAnsi="仿宋" w:eastAsia="仿宋"/>
          <w:color w:val="000000"/>
          <w:kern w:val="0"/>
          <w:sz w:val="32"/>
          <w:szCs w:val="32"/>
          <w:shd w:val="clear" w:color="auto" w:fill="FFFFFF"/>
        </w:rPr>
        <w:t>628.24</w:t>
      </w:r>
      <w:r>
        <w:rPr>
          <w:rFonts w:hint="eastAsia" w:ascii="仿宋" w:hAnsi="仿宋" w:eastAsia="仿宋"/>
          <w:color w:val="000000"/>
          <w:kern w:val="0"/>
          <w:sz w:val="32"/>
          <w:szCs w:val="32"/>
          <w:shd w:val="clear" w:color="auto" w:fill="FFFFFF"/>
        </w:rPr>
        <w:t>万元、其他支出</w:t>
      </w:r>
      <w:r>
        <w:rPr>
          <w:rFonts w:ascii="仿宋" w:hAnsi="仿宋" w:eastAsia="仿宋"/>
          <w:color w:val="000000"/>
          <w:kern w:val="0"/>
          <w:sz w:val="32"/>
          <w:szCs w:val="32"/>
          <w:shd w:val="clear" w:color="auto" w:fill="FFFFFF"/>
        </w:rPr>
        <w:t>103.71</w:t>
      </w:r>
      <w:r>
        <w:rPr>
          <w:rFonts w:hint="eastAsia" w:ascii="仿宋" w:hAnsi="仿宋" w:eastAsia="仿宋"/>
          <w:color w:val="000000"/>
          <w:kern w:val="0"/>
          <w:sz w:val="32"/>
          <w:szCs w:val="32"/>
          <w:shd w:val="clear" w:color="auto" w:fill="FFFFFF"/>
        </w:rPr>
        <w:t>万元。</w:t>
      </w:r>
    </w:p>
    <w:p>
      <w:pPr>
        <w:spacing w:line="600" w:lineRule="exact"/>
        <w:ind w:firstLine="800" w:firstLineChars="250"/>
        <w:rPr>
          <w:rFonts w:ascii="仿宋" w:hAnsi="仿宋" w:eastAsia="仿宋"/>
          <w:color w:val="000000"/>
          <w:kern w:val="0"/>
          <w:sz w:val="32"/>
          <w:szCs w:val="32"/>
          <w:shd w:val="clear" w:color="auto" w:fill="FFFFFF"/>
        </w:rPr>
      </w:pPr>
      <w:r>
        <w:rPr>
          <w:rFonts w:hint="eastAsia" w:ascii="仿宋" w:hAnsi="仿宋" w:eastAsia="仿宋"/>
          <w:color w:val="000000"/>
          <w:kern w:val="0"/>
          <w:sz w:val="32"/>
          <w:szCs w:val="32"/>
          <w:shd w:val="clear" w:color="auto" w:fill="FFFFFF"/>
        </w:rPr>
        <w:t>2019年度本部门财政资金决算支出</w:t>
      </w:r>
      <w:r>
        <w:rPr>
          <w:rFonts w:ascii="仿宋" w:hAnsi="仿宋" w:eastAsia="仿宋"/>
          <w:color w:val="000000"/>
          <w:kern w:val="0"/>
          <w:sz w:val="32"/>
          <w:szCs w:val="32"/>
          <w:shd w:val="clear" w:color="auto" w:fill="FFFFFF"/>
        </w:rPr>
        <w:t>63,481.42万元，</w:t>
      </w:r>
      <w:r>
        <w:rPr>
          <w:rFonts w:hint="eastAsia" w:ascii="仿宋" w:hAnsi="仿宋" w:eastAsia="仿宋"/>
          <w:color w:val="000000"/>
          <w:kern w:val="0"/>
          <w:sz w:val="32"/>
          <w:szCs w:val="32"/>
          <w:shd w:val="clear" w:color="auto" w:fill="FFFFFF"/>
        </w:rPr>
        <w:t>主要支出：一般公共服务支出</w:t>
      </w:r>
      <w:r>
        <w:rPr>
          <w:rFonts w:ascii="仿宋" w:hAnsi="仿宋" w:eastAsia="仿宋"/>
          <w:color w:val="000000"/>
          <w:kern w:val="0"/>
          <w:sz w:val="32"/>
          <w:szCs w:val="32"/>
          <w:shd w:val="clear" w:color="auto" w:fill="FFFFFF"/>
        </w:rPr>
        <w:t>16.58</w:t>
      </w:r>
      <w:r>
        <w:rPr>
          <w:rFonts w:hint="eastAsia" w:ascii="仿宋" w:hAnsi="仿宋" w:eastAsia="仿宋"/>
          <w:color w:val="000000"/>
          <w:kern w:val="0"/>
          <w:sz w:val="32"/>
          <w:szCs w:val="32"/>
          <w:shd w:val="clear" w:color="auto" w:fill="FFFFFF"/>
        </w:rPr>
        <w:t>万元、教育支出</w:t>
      </w:r>
      <w:r>
        <w:rPr>
          <w:rFonts w:ascii="仿宋" w:hAnsi="仿宋" w:eastAsia="仿宋"/>
          <w:color w:val="000000"/>
          <w:kern w:val="0"/>
          <w:sz w:val="32"/>
          <w:szCs w:val="32"/>
          <w:shd w:val="clear" w:color="auto" w:fill="FFFFFF"/>
        </w:rPr>
        <w:t>6,169.04</w:t>
      </w:r>
      <w:r>
        <w:rPr>
          <w:rFonts w:hint="eastAsia" w:ascii="仿宋" w:hAnsi="仿宋" w:eastAsia="仿宋"/>
          <w:color w:val="000000"/>
          <w:kern w:val="0"/>
          <w:sz w:val="32"/>
          <w:szCs w:val="32"/>
          <w:shd w:val="clear" w:color="auto" w:fill="FFFFFF"/>
        </w:rPr>
        <w:t>万元、科学技术支出</w:t>
      </w:r>
      <w:r>
        <w:rPr>
          <w:rFonts w:ascii="仿宋" w:hAnsi="仿宋" w:eastAsia="仿宋"/>
          <w:color w:val="000000"/>
          <w:kern w:val="0"/>
          <w:sz w:val="32"/>
          <w:szCs w:val="32"/>
          <w:shd w:val="clear" w:color="auto" w:fill="FFFFFF"/>
        </w:rPr>
        <w:t>7,311.99</w:t>
      </w:r>
      <w:r>
        <w:rPr>
          <w:rFonts w:hint="eastAsia" w:ascii="仿宋" w:hAnsi="仿宋" w:eastAsia="仿宋"/>
          <w:color w:val="000000"/>
          <w:kern w:val="0"/>
          <w:sz w:val="32"/>
          <w:szCs w:val="32"/>
          <w:shd w:val="clear" w:color="auto" w:fill="FFFFFF"/>
        </w:rPr>
        <w:t>万元、文化旅游体育与传媒支出</w:t>
      </w:r>
      <w:r>
        <w:rPr>
          <w:rFonts w:ascii="仿宋" w:hAnsi="仿宋" w:eastAsia="仿宋"/>
          <w:color w:val="000000"/>
          <w:kern w:val="0"/>
          <w:sz w:val="32"/>
          <w:szCs w:val="32"/>
          <w:shd w:val="clear" w:color="auto" w:fill="FFFFFF"/>
        </w:rPr>
        <w:t>2.00</w:t>
      </w:r>
      <w:r>
        <w:rPr>
          <w:rFonts w:hint="eastAsia" w:ascii="仿宋" w:hAnsi="仿宋" w:eastAsia="仿宋"/>
          <w:color w:val="000000"/>
          <w:kern w:val="0"/>
          <w:sz w:val="32"/>
          <w:szCs w:val="32"/>
          <w:shd w:val="clear" w:color="auto" w:fill="FFFFFF"/>
        </w:rPr>
        <w:t>万元、社会保障和就业支出</w:t>
      </w:r>
      <w:r>
        <w:rPr>
          <w:rFonts w:ascii="仿宋" w:hAnsi="仿宋" w:eastAsia="仿宋"/>
          <w:color w:val="000000"/>
          <w:kern w:val="0"/>
          <w:sz w:val="32"/>
          <w:szCs w:val="32"/>
          <w:shd w:val="clear" w:color="auto" w:fill="FFFFFF"/>
        </w:rPr>
        <w:t>2,798.27</w:t>
      </w:r>
      <w:r>
        <w:rPr>
          <w:rFonts w:hint="eastAsia" w:ascii="仿宋" w:hAnsi="仿宋" w:eastAsia="仿宋"/>
          <w:color w:val="000000"/>
          <w:kern w:val="0"/>
          <w:sz w:val="32"/>
          <w:szCs w:val="32"/>
          <w:shd w:val="clear" w:color="auto" w:fill="FFFFFF"/>
        </w:rPr>
        <w:t>万元、卫生健康支出</w:t>
      </w:r>
      <w:r>
        <w:rPr>
          <w:rFonts w:ascii="仿宋" w:hAnsi="仿宋" w:eastAsia="仿宋"/>
          <w:color w:val="000000"/>
          <w:kern w:val="0"/>
          <w:sz w:val="32"/>
          <w:szCs w:val="32"/>
          <w:shd w:val="clear" w:color="auto" w:fill="FFFFFF"/>
        </w:rPr>
        <w:t>46,375.76</w:t>
      </w:r>
      <w:r>
        <w:rPr>
          <w:rFonts w:hint="eastAsia" w:ascii="仿宋" w:hAnsi="仿宋" w:eastAsia="仿宋"/>
          <w:color w:val="000000"/>
          <w:kern w:val="0"/>
          <w:sz w:val="32"/>
          <w:szCs w:val="32"/>
          <w:shd w:val="clear" w:color="auto" w:fill="FFFFFF"/>
        </w:rPr>
        <w:t>万元、农林水支出</w:t>
      </w:r>
      <w:r>
        <w:rPr>
          <w:rFonts w:ascii="仿宋" w:hAnsi="仿宋" w:eastAsia="仿宋"/>
          <w:color w:val="000000"/>
          <w:kern w:val="0"/>
          <w:sz w:val="32"/>
          <w:szCs w:val="32"/>
          <w:shd w:val="clear" w:color="auto" w:fill="FFFFFF"/>
        </w:rPr>
        <w:t>79.30</w:t>
      </w:r>
      <w:r>
        <w:rPr>
          <w:rFonts w:hint="eastAsia" w:ascii="仿宋" w:hAnsi="仿宋" w:eastAsia="仿宋"/>
          <w:color w:val="000000"/>
          <w:kern w:val="0"/>
          <w:sz w:val="32"/>
          <w:szCs w:val="32"/>
          <w:shd w:val="clear" w:color="auto" w:fill="FFFFFF"/>
        </w:rPr>
        <w:t>万元、住房保障支出</w:t>
      </w:r>
      <w:r>
        <w:rPr>
          <w:rFonts w:ascii="仿宋" w:hAnsi="仿宋" w:eastAsia="仿宋"/>
          <w:color w:val="000000"/>
          <w:kern w:val="0"/>
          <w:sz w:val="32"/>
          <w:szCs w:val="32"/>
          <w:shd w:val="clear" w:color="auto" w:fill="FFFFFF"/>
        </w:rPr>
        <w:t>624.78</w:t>
      </w:r>
      <w:r>
        <w:rPr>
          <w:rFonts w:hint="eastAsia" w:ascii="仿宋" w:hAnsi="仿宋" w:eastAsia="仿宋"/>
          <w:color w:val="000000"/>
          <w:kern w:val="0"/>
          <w:sz w:val="32"/>
          <w:szCs w:val="32"/>
          <w:shd w:val="clear" w:color="auto" w:fill="FFFFFF"/>
        </w:rPr>
        <w:t>万元、其他支出</w:t>
      </w:r>
      <w:r>
        <w:rPr>
          <w:rFonts w:ascii="仿宋" w:hAnsi="仿宋" w:eastAsia="仿宋"/>
          <w:color w:val="000000"/>
          <w:kern w:val="0"/>
          <w:sz w:val="32"/>
          <w:szCs w:val="32"/>
          <w:shd w:val="clear" w:color="auto" w:fill="FFFFFF"/>
        </w:rPr>
        <w:t>103.70</w:t>
      </w:r>
      <w:r>
        <w:rPr>
          <w:rFonts w:hint="eastAsia" w:ascii="仿宋" w:hAnsi="仿宋" w:eastAsia="仿宋"/>
          <w:color w:val="000000"/>
          <w:kern w:val="0"/>
          <w:sz w:val="32"/>
          <w:szCs w:val="32"/>
          <w:shd w:val="clear" w:color="auto" w:fill="FFFFFF"/>
        </w:rPr>
        <w:t>万元等。</w:t>
      </w:r>
    </w:p>
    <w:p>
      <w:pPr>
        <w:spacing w:line="600" w:lineRule="exact"/>
        <w:ind w:firstLine="643" w:firstLineChars="200"/>
        <w:rPr>
          <w:rFonts w:ascii="黑体" w:hAnsi="黑体" w:eastAsia="黑体"/>
          <w:b/>
          <w:sz w:val="32"/>
          <w:szCs w:val="32"/>
        </w:rPr>
      </w:pPr>
      <w:r>
        <w:rPr>
          <w:rFonts w:hint="eastAsia" w:ascii="黑体" w:hAnsi="黑体" w:eastAsia="黑体"/>
          <w:b/>
          <w:sz w:val="32"/>
          <w:szCs w:val="32"/>
        </w:rPr>
        <w:t>三、部门整体预算绩效管理情况</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（一）部门预算管理。</w:t>
      </w:r>
    </w:p>
    <w:p>
      <w:pPr>
        <w:spacing w:line="600" w:lineRule="exact"/>
        <w:ind w:firstLine="640" w:firstLineChars="200"/>
        <w:rPr>
          <w:rFonts w:ascii="仿宋" w:hAnsi="仿宋" w:eastAsia="仿宋"/>
          <w:color w:val="000000"/>
          <w:kern w:val="0"/>
          <w:sz w:val="32"/>
          <w:szCs w:val="32"/>
          <w:shd w:val="clear" w:color="auto" w:fill="FFFFFF"/>
        </w:rPr>
      </w:pPr>
      <w:r>
        <w:rPr>
          <w:rFonts w:hint="eastAsia" w:ascii="仿宋" w:hAnsi="仿宋" w:eastAsia="仿宋"/>
          <w:color w:val="000000"/>
          <w:kern w:val="0"/>
          <w:sz w:val="32"/>
          <w:szCs w:val="32"/>
          <w:shd w:val="clear" w:color="auto" w:fill="FFFFFF"/>
        </w:rPr>
        <w:t>为提高预算编制的科学性，我局紧紧围绕职能职责和阶段性重点工作任务确定部门(单位)总体绩效目标,科学设置目标，进一步细化量化具体项目绩效目标。一是在预算安排前,我局对相关政策和项目进行全面梳理评估。取消不符合最新政策规定、执行到期、绩效不高的项目;归并政策目标接近、资金投入方向类同、资金管理方式相似的项目;调整政策对象交叉、区域范围重叠的项目。二是按照国家从严控制一般性支出的统一要求,在部门预算编制过程中,在保障机构正常运行和工作正常开展的前提下,最大限度压缩一般性支出规模。三是结合全省中医药工作实际，根据轻重缓急,按照必保项目、重点项目、支持项目的顺序进行预算安排,切实提高预算的精确度。四是按照财政7月和9月两个监控时点,我局对项目预算执行情况、预算调整情况、绩效目标产出指标实现程度开展监控，根据预算绩效结果认真整改问题,完善政策制度,优化资金分配,改进监督管理,推动预算管理水平整体提升。</w:t>
      </w:r>
    </w:p>
    <w:p>
      <w:pPr>
        <w:widowControl/>
        <w:adjustRightInd w:val="0"/>
        <w:snapToGrid w:val="0"/>
        <w:spacing w:line="600" w:lineRule="exact"/>
        <w:ind w:firstLine="720"/>
        <w:jc w:val="left"/>
        <w:rPr>
          <w:rFonts w:ascii="楷体" w:hAnsi="楷体" w:eastAsia="楷体" w:cs="宋体"/>
          <w:b/>
          <w:color w:val="000000"/>
          <w:kern w:val="0"/>
          <w:sz w:val="32"/>
          <w:szCs w:val="32"/>
          <w:shd w:val="clear" w:color="auto" w:fill="FFFFFF"/>
          <w:lang w:val="zh-CN"/>
        </w:rPr>
      </w:pPr>
      <w:r>
        <w:rPr>
          <w:rFonts w:hint="eastAsia" w:ascii="楷体" w:hAnsi="楷体" w:eastAsia="楷体" w:cs="宋体"/>
          <w:b/>
          <w:color w:val="000000"/>
          <w:kern w:val="0"/>
          <w:sz w:val="32"/>
          <w:szCs w:val="32"/>
          <w:shd w:val="clear" w:color="auto" w:fill="FFFFFF"/>
          <w:lang w:val="zh-CN"/>
        </w:rPr>
        <w:t>（二）结果应用情况。</w:t>
      </w:r>
    </w:p>
    <w:p>
      <w:pPr>
        <w:widowControl/>
        <w:adjustRightInd w:val="0"/>
        <w:snapToGrid w:val="0"/>
        <w:spacing w:line="600" w:lineRule="exact"/>
        <w:ind w:firstLine="720"/>
        <w:jc w:val="left"/>
        <w:rPr>
          <w:rFonts w:ascii="仿宋" w:hAnsi="仿宋" w:eastAsia="仿宋"/>
          <w:color w:val="000000"/>
          <w:kern w:val="0"/>
          <w:sz w:val="32"/>
          <w:szCs w:val="32"/>
          <w:shd w:val="clear" w:color="auto" w:fill="FFFFFF"/>
        </w:rPr>
      </w:pPr>
      <w:r>
        <w:rPr>
          <w:rFonts w:hint="eastAsia" w:ascii="仿宋" w:hAnsi="仿宋" w:eastAsia="仿宋"/>
          <w:color w:val="000000"/>
          <w:kern w:val="0"/>
          <w:sz w:val="32"/>
          <w:szCs w:val="32"/>
          <w:shd w:val="clear" w:color="auto" w:fill="FFFFFF"/>
        </w:rPr>
        <w:t>为更好地促进各项目单位科学、精准编制预算，我局加强对各项目单位的预算绩效评价工作，在项目资金管理方案中明确将项目支持、资金安排同绩效目标考评情况挂钩，并聘请第三方机构对中医药专项资金开展绩效评价，将绩效评价结果作为下年度资金安排的重要依据，对绩效优良的，在资金安排上优先考虑。部门整体支出绩效评价结果随同部门决算一并公开。</w:t>
      </w:r>
    </w:p>
    <w:p>
      <w:pPr>
        <w:widowControl/>
        <w:adjustRightInd w:val="0"/>
        <w:snapToGrid w:val="0"/>
        <w:spacing w:line="600" w:lineRule="exact"/>
        <w:ind w:firstLine="720"/>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600" w:lineRule="exact"/>
        <w:ind w:firstLine="720"/>
        <w:jc w:val="left"/>
        <w:rPr>
          <w:rFonts w:ascii="楷体" w:hAnsi="楷体" w:eastAsia="楷体" w:cs="宋体"/>
          <w:b/>
          <w:kern w:val="0"/>
          <w:sz w:val="32"/>
          <w:szCs w:val="32"/>
          <w:shd w:val="clear" w:color="auto" w:fill="FFFFFF"/>
          <w:lang w:val="zh-CN"/>
        </w:rPr>
      </w:pPr>
      <w:r>
        <w:rPr>
          <w:rFonts w:hint="eastAsia" w:ascii="楷体" w:hAnsi="楷体" w:eastAsia="楷体" w:cs="宋体"/>
          <w:b/>
          <w:kern w:val="0"/>
          <w:sz w:val="32"/>
          <w:szCs w:val="32"/>
          <w:shd w:val="clear" w:color="auto" w:fill="FFFFFF"/>
          <w:lang w:val="zh-CN"/>
        </w:rPr>
        <w:t>（一）评价结论。</w:t>
      </w:r>
    </w:p>
    <w:p>
      <w:pPr>
        <w:widowControl/>
        <w:spacing w:line="600" w:lineRule="exact"/>
        <w:ind w:firstLine="620" w:firstLineChars="194"/>
        <w:jc w:val="left"/>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2019年度我局整体预算执行较好，重点工作得到有序推进，各项工作完成良好，圆满完成年初制定的各项工作任务。</w:t>
      </w:r>
    </w:p>
    <w:p>
      <w:pPr>
        <w:widowControl/>
        <w:adjustRightInd w:val="0"/>
        <w:snapToGrid w:val="0"/>
        <w:spacing w:line="600" w:lineRule="exact"/>
        <w:ind w:firstLine="720"/>
        <w:jc w:val="left"/>
        <w:rPr>
          <w:rFonts w:ascii="楷体" w:hAnsi="楷体" w:eastAsia="楷体" w:cs="宋体"/>
          <w:b/>
          <w:kern w:val="0"/>
          <w:sz w:val="32"/>
          <w:szCs w:val="32"/>
          <w:shd w:val="clear" w:color="auto" w:fill="FFFFFF"/>
          <w:lang w:val="zh-CN"/>
        </w:rPr>
      </w:pPr>
      <w:r>
        <w:rPr>
          <w:rFonts w:hint="eastAsia" w:ascii="楷体" w:hAnsi="楷体" w:eastAsia="楷体" w:cs="宋体"/>
          <w:b/>
          <w:kern w:val="0"/>
          <w:sz w:val="32"/>
          <w:szCs w:val="32"/>
          <w:shd w:val="clear" w:color="auto" w:fill="FFFFFF"/>
          <w:lang w:val="zh-CN"/>
        </w:rPr>
        <w:t>（二）存在问题。</w:t>
      </w:r>
    </w:p>
    <w:p>
      <w:pPr>
        <w:widowControl/>
        <w:spacing w:line="600" w:lineRule="exact"/>
        <w:ind w:firstLine="620" w:firstLineChars="194"/>
        <w:jc w:val="left"/>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1.</w:t>
      </w:r>
      <w:r>
        <w:rPr>
          <w:rFonts w:hint="eastAsia" w:ascii="仿宋" w:hAnsi="仿宋" w:eastAsia="仿宋"/>
          <w:sz w:val="32"/>
          <w:szCs w:val="32"/>
        </w:rPr>
        <w:t>部分项目中期</w:t>
      </w:r>
      <w:r>
        <w:rPr>
          <w:rFonts w:hint="eastAsia" w:ascii="仿宋" w:hAnsi="仿宋" w:eastAsia="仿宋"/>
          <w:kern w:val="0"/>
          <w:sz w:val="32"/>
          <w:szCs w:val="32"/>
          <w:shd w:val="clear" w:color="auto" w:fill="FFFFFF"/>
        </w:rPr>
        <w:t>预算执行相对较慢。</w:t>
      </w:r>
      <w:r>
        <w:rPr>
          <w:rFonts w:hint="eastAsia" w:ascii="仿宋" w:hAnsi="仿宋" w:eastAsia="仿宋"/>
          <w:sz w:val="32"/>
          <w:szCs w:val="32"/>
        </w:rPr>
        <w:t>部分项目开展需要采购进口设备，采购程序多、周期长，设备需要验收合格才能付款，导致</w:t>
      </w:r>
      <w:r>
        <w:rPr>
          <w:rFonts w:hint="eastAsia" w:ascii="仿宋" w:hAnsi="仿宋" w:eastAsia="仿宋"/>
          <w:kern w:val="0"/>
          <w:sz w:val="32"/>
          <w:szCs w:val="32"/>
          <w:shd w:val="clear" w:color="auto" w:fill="FFFFFF"/>
        </w:rPr>
        <w:t>预算执行相对较慢。</w:t>
      </w:r>
    </w:p>
    <w:p>
      <w:pPr>
        <w:widowControl/>
        <w:spacing w:line="600" w:lineRule="exact"/>
        <w:ind w:firstLine="620" w:firstLineChars="194"/>
        <w:jc w:val="left"/>
        <w:rPr>
          <w:rFonts w:ascii="仿宋" w:hAnsi="仿宋" w:eastAsia="仿宋"/>
          <w:sz w:val="32"/>
          <w:szCs w:val="32"/>
        </w:rPr>
      </w:pPr>
      <w:r>
        <w:rPr>
          <w:rFonts w:hint="eastAsia" w:ascii="仿宋" w:hAnsi="仿宋" w:eastAsia="仿宋"/>
          <w:kern w:val="0"/>
          <w:sz w:val="32"/>
          <w:szCs w:val="32"/>
          <w:shd w:val="clear" w:color="auto" w:fill="FFFFFF"/>
        </w:rPr>
        <w:t>2.</w:t>
      </w:r>
      <w:r>
        <w:rPr>
          <w:rFonts w:hint="eastAsia" w:ascii="仿宋" w:hAnsi="仿宋" w:eastAsia="仿宋"/>
          <w:sz w:val="32"/>
          <w:szCs w:val="32"/>
        </w:rPr>
        <w:t>部分科研项目前期绩效实现不明显。部分科研项目周期为2至3年，第一年主要为科研前期工作，绩效目标实现主要在第二或第三年度。</w:t>
      </w:r>
    </w:p>
    <w:p>
      <w:pPr>
        <w:widowControl/>
        <w:adjustRightInd w:val="0"/>
        <w:snapToGrid w:val="0"/>
        <w:spacing w:line="600" w:lineRule="exact"/>
        <w:ind w:firstLine="720"/>
        <w:jc w:val="left"/>
        <w:rPr>
          <w:rFonts w:ascii="楷体" w:hAnsi="楷体" w:eastAsia="楷体" w:cs="宋体"/>
          <w:b/>
          <w:kern w:val="0"/>
          <w:sz w:val="32"/>
          <w:szCs w:val="32"/>
          <w:shd w:val="clear" w:color="auto" w:fill="FFFFFF"/>
          <w:lang w:val="zh-CN"/>
        </w:rPr>
      </w:pPr>
      <w:r>
        <w:rPr>
          <w:rFonts w:hint="eastAsia" w:ascii="楷体" w:hAnsi="楷体" w:eastAsia="楷体" w:cs="宋体"/>
          <w:b/>
          <w:kern w:val="0"/>
          <w:sz w:val="32"/>
          <w:szCs w:val="32"/>
          <w:shd w:val="clear" w:color="auto" w:fill="FFFFFF"/>
          <w:lang w:val="zh-CN"/>
        </w:rPr>
        <w:t>（三）改进建议。</w:t>
      </w:r>
    </w:p>
    <w:p>
      <w:pPr>
        <w:widowControl/>
        <w:spacing w:line="600" w:lineRule="exact"/>
        <w:ind w:firstLine="620" w:firstLineChars="194"/>
        <w:jc w:val="left"/>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1.细化预算编制工作，加强项目前期评估论证和后期绩效考评工作，进一步提高预算编制的科学性、严谨性和可操作性。</w:t>
      </w:r>
    </w:p>
    <w:p>
      <w:pPr>
        <w:widowControl/>
        <w:spacing w:line="600" w:lineRule="exact"/>
        <w:ind w:firstLine="620" w:firstLineChars="194"/>
        <w:jc w:val="left"/>
        <w:rPr>
          <w:rFonts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2.持续加强项目实施跟踪和中期监控，强化项目绩效评价和结果运用，确保项目绩效目标及时完成，提高资金使用效益。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F4F3E"/>
    <w:rsid w:val="469F4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uiPriority w:val="0"/>
    <w:pPr>
      <w:spacing w:beforeLines="30"/>
    </w:pPr>
    <w:rPr>
      <w:rFonts w:ascii="仿宋_GB2312" w:eastAsia="仿宋_GB2312"/>
      <w:kern w:val="0"/>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2020-09-03T00:56:00Z</dcterms:created>
  <dc:creator>dell</dc:creator>
  <cp:lastModifiedBy>dell</cp:lastModifiedBy>
  <dcterms:modified xsi:type="dcterms:W3CDTF">2020-09-03T00:57:59Z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