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401E3">
      <w:pPr>
        <w:pStyle w:val="3"/>
        <w:keepNext w:val="0"/>
        <w:keepLines w:val="0"/>
        <w:pageBreakBefore w:val="0"/>
        <w:widowControl w:val="0"/>
        <w:kinsoku/>
        <w:wordWrap/>
        <w:topLinePunct w:val="0"/>
        <w:bidi w:val="0"/>
        <w:ind w:left="0" w:leftChars="0"/>
        <w:rPr>
          <w:rFonts w:hint="default" w:ascii="Times New Roman" w:hAnsi="Times New Roman" w:cs="Times New Roman"/>
          <w:lang w:val="en-US" w:eastAsia="zh-CN"/>
        </w:rPr>
      </w:pPr>
    </w:p>
    <w:p w14:paraId="0966B703">
      <w:pPr>
        <w:pStyle w:val="5"/>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jc w:val="center"/>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关于进一步规范中医药高级职称申报</w:t>
      </w:r>
    </w:p>
    <w:p w14:paraId="44A1CFE2">
      <w:pPr>
        <w:pStyle w:val="5"/>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jc w:val="center"/>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评审工作的通知</w:t>
      </w:r>
    </w:p>
    <w:p w14:paraId="35FC1A87">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jc w:val="center"/>
        <w:textAlignment w:val="baseline"/>
        <w:rPr>
          <w:rFonts w:hint="default" w:ascii="Times New Roman" w:hAnsi="Times New Roman" w:eastAsia="仿宋_GB2312" w:cs="Times New Roman"/>
          <w:b w:val="0"/>
          <w:snapToGrid w:val="0"/>
          <w:color w:val="auto"/>
          <w:spacing w:val="0"/>
          <w:kern w:val="0"/>
          <w:sz w:val="32"/>
          <w:szCs w:val="32"/>
          <w:highlight w:val="none"/>
          <w:lang w:val="en-US" w:eastAsia="zh-CN"/>
        </w:rPr>
      </w:pPr>
      <w:r>
        <w:rPr>
          <w:rFonts w:hint="default" w:ascii="Times New Roman" w:hAnsi="Times New Roman" w:eastAsia="仿宋_GB2312" w:cs="Times New Roman"/>
          <w:b w:val="0"/>
          <w:snapToGrid w:val="0"/>
          <w:color w:val="auto"/>
          <w:spacing w:val="0"/>
          <w:kern w:val="0"/>
          <w:sz w:val="32"/>
          <w:szCs w:val="32"/>
          <w:highlight w:val="none"/>
          <w:lang w:val="en-US" w:eastAsia="zh-CN"/>
        </w:rPr>
        <w:t>（征求意见稿）</w:t>
      </w:r>
    </w:p>
    <w:p w14:paraId="1F358DCB">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jc w:val="both"/>
        <w:textAlignment w:val="baseline"/>
        <w:rPr>
          <w:rFonts w:hint="default" w:ascii="Times New Roman" w:hAnsi="Times New Roman" w:eastAsia="仿宋_GB2312" w:cs="Times New Roman"/>
          <w:spacing w:val="0"/>
          <w:sz w:val="32"/>
          <w:szCs w:val="32"/>
          <w:lang w:val="en-US" w:eastAsia="zh-CN"/>
        </w:rPr>
      </w:pPr>
    </w:p>
    <w:p w14:paraId="1F4F1810">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jc w:val="both"/>
        <w:textAlignment w:val="baseline"/>
        <w:rPr>
          <w:rFonts w:hint="default" w:ascii="Times New Roman" w:hAnsi="Times New Roman" w:eastAsia="仿宋_GB2312" w:cs="Times New Roman"/>
          <w:spacing w:val="0"/>
          <w:sz w:val="32"/>
          <w:szCs w:val="32"/>
          <w:lang w:val="en-US" w:eastAsia="zh-CN"/>
        </w:rPr>
      </w:pPr>
      <w:bookmarkStart w:id="0" w:name="_GoBack"/>
      <w:bookmarkEnd w:id="0"/>
      <w:r>
        <w:rPr>
          <w:rFonts w:hint="default" w:ascii="Times New Roman" w:hAnsi="Times New Roman" w:eastAsia="仿宋_GB2312" w:cs="Times New Roman"/>
          <w:spacing w:val="0"/>
          <w:sz w:val="32"/>
          <w:szCs w:val="32"/>
          <w:lang w:val="en-US" w:eastAsia="zh-CN"/>
        </w:rPr>
        <w:t>各市（州）中医药管理局、人力资源社会保障局，省级有关部门，局属单位，有关企事业单位：</w:t>
      </w:r>
    </w:p>
    <w:p w14:paraId="5A2AE26A">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为健全我省中医药专业技术人员职称评价体系，进一步规范中医药高级职称申报评审工作，根据</w:t>
      </w:r>
      <w:r>
        <w:rPr>
          <w:rFonts w:hint="default" w:ascii="Times New Roman" w:hAnsi="Times New Roman" w:eastAsia="仿宋_GB2312" w:cs="Times New Roman"/>
          <w:b w:val="0"/>
          <w:snapToGrid w:val="0"/>
          <w:color w:val="auto"/>
          <w:spacing w:val="0"/>
          <w:kern w:val="0"/>
          <w:sz w:val="32"/>
          <w:szCs w:val="32"/>
          <w:highlight w:val="none"/>
          <w:lang w:val="en-US" w:eastAsia="zh-CN"/>
        </w:rPr>
        <w:t>《四川省职称评审委员会管理办法（试行）》（川人社办发〔2023〕73号）、《关于印发〈四川省中医药专业技术人员职称申报评审基本条件〉〈四川省基层中医药专业技术人员高级职称申报评审基本条件〉的通知》（川中医药规〔2023〕1号）</w:t>
      </w:r>
      <w:r>
        <w:rPr>
          <w:rFonts w:hint="default" w:ascii="Times New Roman" w:hAnsi="Times New Roman" w:eastAsia="仿宋_GB2312" w:cs="Times New Roman"/>
          <w:spacing w:val="0"/>
          <w:sz w:val="32"/>
          <w:szCs w:val="32"/>
          <w:lang w:val="en-US" w:eastAsia="zh-CN"/>
        </w:rPr>
        <w:t>等规定制定本通知，现将有关事项通知如下。</w:t>
      </w:r>
    </w:p>
    <w:p w14:paraId="0AD94559">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18030" w:cs="Times New Roman"/>
          <w:spacing w:val="0"/>
          <w:sz w:val="32"/>
          <w:szCs w:val="32"/>
          <w:lang w:val="en-US" w:eastAsia="zh-CN"/>
        </w:rPr>
      </w:pPr>
      <w:r>
        <w:rPr>
          <w:rFonts w:hint="default" w:ascii="Times New Roman" w:hAnsi="Times New Roman" w:eastAsia="黑体" w:cs="Times New Roman"/>
          <w:b w:val="0"/>
          <w:bCs w:val="0"/>
          <w:spacing w:val="0"/>
          <w:sz w:val="32"/>
          <w:szCs w:val="32"/>
          <w:lang w:val="en-US" w:eastAsia="zh-CN"/>
        </w:rPr>
        <w:t>一、专业要求</w:t>
      </w:r>
    </w:p>
    <w:p w14:paraId="61D44471">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申报人员选择评审专业时，专业须与现从事专业一致，且从事本专业年限不少于最低申报年限，</w:t>
      </w:r>
      <w:r>
        <w:rPr>
          <w:rFonts w:hint="default" w:ascii="Times New Roman" w:hAnsi="Times New Roman" w:eastAsia="仿宋_GB2312" w:cs="Times New Roman"/>
          <w:spacing w:val="0"/>
          <w:sz w:val="32"/>
          <w:szCs w:val="32"/>
          <w:highlight w:val="none"/>
          <w:lang w:val="en-US" w:eastAsia="zh-CN"/>
        </w:rPr>
        <w:t>若</w:t>
      </w:r>
      <w:r>
        <w:rPr>
          <w:rFonts w:hint="default" w:ascii="Times New Roman" w:hAnsi="Times New Roman" w:eastAsia="仿宋_GB2312" w:cs="Times New Roman"/>
          <w:spacing w:val="0"/>
          <w:sz w:val="32"/>
          <w:szCs w:val="32"/>
          <w:lang w:val="en-US" w:eastAsia="zh-CN"/>
        </w:rPr>
        <w:t>与上一级职称专业不一致的，需由申报单位提供目前从事专业证明，申报副高级职称者取得的副高级资格考试专业必须和申报专业一致或相近。</w:t>
      </w:r>
      <w:r>
        <w:rPr>
          <w:rFonts w:hint="default" w:ascii="Times New Roman" w:hAnsi="Times New Roman" w:eastAsia="仿宋_GB2312" w:cs="Times New Roman"/>
          <w:spacing w:val="0"/>
          <w:sz w:val="32"/>
          <w:szCs w:val="32"/>
          <w:lang w:val="en-US" w:eastAsia="zh-CN"/>
        </w:rPr>
        <w:tab/>
      </w:r>
    </w:p>
    <w:p w14:paraId="0D8430A3">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（一）在医疗机构从事中医康复治疗技术、运动康复等专业的技师，已取得技师类上一级职称，可申报中医康复治疗技术专业；</w:t>
      </w:r>
    </w:p>
    <w:p w14:paraId="4982E61F">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（二）在中医医疗机构、综合医疗机构从事中医护理工作的护理人员，已取得护理类上一级职称，可申报中医护理专业；</w:t>
      </w:r>
    </w:p>
    <w:p w14:paraId="2325509D">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三）在中医医疗机构从事中医药管理工作相关的专业技术人员，符合申报条件且已取得医、药、护、技类上一级职称，熟练掌握中医药政策法规，从事中医药管理工作超过3年且仍在从事中医药专业技术工作，可申报中医药管理专业；</w:t>
      </w:r>
    </w:p>
    <w:p w14:paraId="14B02529">
      <w:pPr>
        <w:keepNext w:val="0"/>
        <w:keepLines w:val="0"/>
        <w:pageBreakBefore w:val="0"/>
        <w:widowControl w:val="0"/>
        <w:kinsoku/>
        <w:wordWrap/>
        <w:overflowPunct w:val="0"/>
        <w:topLinePunct w:val="0"/>
        <w:autoSpaceDE/>
        <w:autoSpaceDN/>
        <w:bidi w:val="0"/>
        <w:adjustRightInd w:val="0"/>
        <w:snapToGrid w:val="0"/>
        <w:spacing w:beforeAutospacing="0" w:line="576" w:lineRule="exact"/>
        <w:ind w:lef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lang w:val="en-US" w:eastAsia="zh-CN" w:bidi="ar-SA"/>
        </w:rPr>
      </w:pPr>
      <w:r>
        <w:rPr>
          <w:rFonts w:hint="default" w:ascii="Times New Roman" w:hAnsi="Times New Roman" w:eastAsia="仿宋_GB2312" w:cs="Times New Roman"/>
          <w:snapToGrid w:val="0"/>
          <w:color w:val="auto"/>
          <w:spacing w:val="0"/>
          <w:kern w:val="0"/>
          <w:sz w:val="32"/>
          <w:szCs w:val="32"/>
          <w:highlight w:val="none"/>
          <w:lang w:val="en-US" w:eastAsia="zh-CN" w:bidi="ar-SA"/>
        </w:rPr>
        <w:t>（四）中西医结合骨伤、中医治未病、中医肿瘤、中西医结合影像、中医药管理、中医药健康管理、中医康复治疗技术等评审专业暂无副高级资格考试专业，申报人员可报考相近专业（如中西医结合骨伤专业可报考中医骨伤专业，中医治未病专业可报考中医内科专业、针灸专业、推拿专业等，中医肿瘤专业可报考中医内科专业，中医康复治疗技术专业可报考康复治疗技术专业，中医药管理专业按照现从事中医药专业技术工作方向报考相应专业或卫生管理专业），下一步将根据各专业人才队伍发展情况，不断完善副高级资格考试专业设置。</w:t>
      </w:r>
    </w:p>
    <w:p w14:paraId="128C17D1">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val="en-US" w:eastAsia="zh-CN"/>
        </w:rPr>
        <w:t>二、年限要求</w:t>
      </w:r>
    </w:p>
    <w:p w14:paraId="0E2AFF8F">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取得中医药（基层）职称者，可正常申报基层高级职称；申报高一级普通职称，须取得低一级普通职称，年限可从取得中医药（基层）职称时间起算。</w:t>
      </w:r>
    </w:p>
    <w:p w14:paraId="45CB7C1A">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全日制脱产学习期间聘任时间应扣除全日制学习时间，且全日制脱产学习期间取得的业绩不得作为申报业绩成果。取得国（境）外相应学历学位的人员，需提供国家教育部国（境）外学历学位认证书。</w:t>
      </w:r>
    </w:p>
    <w:p w14:paraId="61D42BC0">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highlight w:val="yellow"/>
          <w:lang w:val="en-US" w:eastAsia="zh-CN"/>
        </w:rPr>
      </w:pPr>
      <w:r>
        <w:rPr>
          <w:rFonts w:hint="eastAsia" w:ascii="Times New Roman" w:hAnsi="Times New Roman" w:eastAsia="仿宋_GB2312" w:cs="Times New Roman"/>
          <w:spacing w:val="0"/>
          <w:sz w:val="32"/>
          <w:szCs w:val="32"/>
          <w:lang w:val="en-US" w:eastAsia="zh-CN"/>
        </w:rPr>
        <w:t>在医疗卫生单位</w:t>
      </w:r>
      <w:r>
        <w:rPr>
          <w:rFonts w:hint="default" w:ascii="Times New Roman" w:hAnsi="Times New Roman" w:eastAsia="仿宋_GB2312" w:cs="Times New Roman"/>
          <w:spacing w:val="0"/>
          <w:sz w:val="32"/>
          <w:szCs w:val="32"/>
          <w:lang w:val="en-US" w:eastAsia="zh-CN"/>
        </w:rPr>
        <w:t>从事中医药管理相关工作不少于3年的医、药、护、技类专业技术人员</w:t>
      </w:r>
      <w:r>
        <w:rPr>
          <w:rFonts w:hint="eastAsia" w:ascii="Times New Roman" w:hAnsi="Times New Roman" w:eastAsia="仿宋_GB2312" w:cs="Times New Roman"/>
          <w:spacing w:val="0"/>
          <w:sz w:val="32"/>
          <w:szCs w:val="32"/>
          <w:lang w:val="en-US" w:eastAsia="zh-CN"/>
        </w:rPr>
        <w:t>可以申报</w:t>
      </w:r>
      <w:r>
        <w:rPr>
          <w:rFonts w:hint="default" w:ascii="Times New Roman" w:hAnsi="Times New Roman" w:eastAsia="仿宋_GB2312" w:cs="Times New Roman"/>
          <w:spacing w:val="0"/>
          <w:sz w:val="32"/>
          <w:szCs w:val="32"/>
          <w:lang w:val="en-US" w:eastAsia="zh-CN"/>
        </w:rPr>
        <w:t>中医药管理专业。在符合学历资历、工作业绩、年度考核、对口支援、进修学习要求的同时，申报中医药管理专业的医师，除满足平均每年参加</w:t>
      </w:r>
      <w:r>
        <w:rPr>
          <w:rFonts w:hint="eastAsia" w:ascii="Times New Roman" w:hAnsi="Times New Roman" w:eastAsia="仿宋_GB2312" w:cs="Times New Roman"/>
          <w:spacing w:val="0"/>
          <w:sz w:val="32"/>
          <w:szCs w:val="32"/>
          <w:lang w:val="en-US" w:eastAsia="zh-CN"/>
        </w:rPr>
        <w:t>原</w:t>
      </w:r>
      <w:r>
        <w:rPr>
          <w:rFonts w:hint="default" w:ascii="Times New Roman" w:hAnsi="Times New Roman" w:eastAsia="仿宋_GB2312" w:cs="Times New Roman"/>
          <w:spacing w:val="0"/>
          <w:sz w:val="32"/>
          <w:szCs w:val="32"/>
          <w:lang w:val="en-US" w:eastAsia="zh-CN"/>
        </w:rPr>
        <w:t>专业工作时间外，还需满足临床工作量不低于医师类专业技术人员申报同级别高级职称工作量的50%。申报中医药管理专业的药、护、技类专业技术人员，满足平均每年参加</w:t>
      </w:r>
      <w:r>
        <w:rPr>
          <w:rFonts w:hint="eastAsia" w:ascii="Times New Roman" w:hAnsi="Times New Roman" w:eastAsia="仿宋_GB2312" w:cs="Times New Roman"/>
          <w:spacing w:val="0"/>
          <w:sz w:val="32"/>
          <w:szCs w:val="32"/>
          <w:lang w:val="en-US" w:eastAsia="zh-CN"/>
        </w:rPr>
        <w:t>原</w:t>
      </w:r>
      <w:r>
        <w:rPr>
          <w:rFonts w:hint="default" w:ascii="Times New Roman" w:hAnsi="Times New Roman" w:eastAsia="仿宋_GB2312" w:cs="Times New Roman"/>
          <w:spacing w:val="0"/>
          <w:sz w:val="32"/>
          <w:szCs w:val="32"/>
          <w:lang w:val="en-US" w:eastAsia="zh-CN"/>
        </w:rPr>
        <w:t>专业工作时间，只可申报中医副主任技师或中医主任技师。</w:t>
      </w:r>
    </w:p>
    <w:p w14:paraId="0C1E1187">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val="en-US" w:eastAsia="zh-CN"/>
        </w:rPr>
        <w:t>三、工作量要求</w:t>
      </w:r>
    </w:p>
    <w:p w14:paraId="1DD92269">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非急诊科医生在任现职期间如轮转急诊科，工作期间按照4小时为一个门诊单元数计算工作量，轮转急诊单位数不得超过总门诊量的20%。</w:t>
      </w:r>
    </w:p>
    <w:p w14:paraId="5A109AB4">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针灸、推拿（按摩）、刮痧、拔罐等中医治疗技术，工作量按照4小时不低于15名患者为一个门诊单元数计算。申报人员如多点执业，其人事关系所在医疗机构的工作量不低于总工作量的60%。</w:t>
      </w:r>
    </w:p>
    <w:p w14:paraId="2DE874B9">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中医药专业技术人员从事重症医学工作的临床工作量，申报副高级职称须参与诊疗1500人次，晋升正高级职称须参与诊疗1000人次。</w:t>
      </w:r>
    </w:p>
    <w:p w14:paraId="3F01AB40">
      <w:pPr>
        <w:pStyle w:val="3"/>
        <w:keepNext w:val="0"/>
        <w:keepLines w:val="0"/>
        <w:pageBreakBefore w:val="0"/>
        <w:widowControl w:val="0"/>
        <w:kinsoku/>
        <w:wordWrap/>
        <w:topLinePunct w:val="0"/>
        <w:bidi w:val="0"/>
        <w:spacing w:line="576" w:lineRule="exact"/>
        <w:ind w:left="0" w:leftChars="0" w:firstLine="640" w:firstLineChars="200"/>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参加各级党委、政府安排的援外、援藏、援彝、脱贫攻坚、疫情防控等指令性工作的中医药专业技术人员，其参加援外、援藏、援彝、脱贫攻坚、疫情防控等指令性工作期间视为达到平均基本临床工作量要求，且可提前申报时间期间视为达到平均基本临床工作量要求。（例：1.参加疫情防控工作1个月，视为完成当月的临床工作量要求。2.提前1年申报职称的，视为完成提前这1年的临床工作量。）</w:t>
      </w:r>
    </w:p>
    <w:p w14:paraId="6A094BDA">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lang w:val="en-US" w:eastAsia="zh-CN"/>
        </w:rPr>
        <w:t>四、学分要求</w:t>
      </w:r>
    </w:p>
    <w:p w14:paraId="3AC5CD07">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按照继续医学教育管理有关规定，每年至少取得25学分，申报当年仅需提供实际取得学分；2019年起，申报人员每年中医药类学分须超过总分数的60%（不低于15分）；2020年至2022年的I类、Ⅱ类学分可以统筹使用。2025年起，不再区分I类、Ⅱ类学分。所获学分在全国范围内当年有效，原则上不得结转或顺延至下一年度。</w:t>
      </w:r>
    </w:p>
    <w:p w14:paraId="3BBB54E3">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lang w:val="en-US" w:eastAsia="zh-CN"/>
        </w:rPr>
        <w:t>五、进修要求</w:t>
      </w:r>
    </w:p>
    <w:p w14:paraId="5E9F663E">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在申报中医药高级职称前，须完成跟师学习或进修学习，</w:t>
      </w:r>
      <w:r>
        <w:rPr>
          <w:rFonts w:hint="default" w:ascii="Times New Roman" w:hAnsi="Times New Roman" w:eastAsia="仿宋_GB2312" w:cs="Times New Roman"/>
          <w:b w:val="0"/>
          <w:color w:val="auto"/>
          <w:spacing w:val="-2"/>
          <w:kern w:val="2"/>
          <w:sz w:val="32"/>
          <w:szCs w:val="32"/>
          <w:highlight w:val="none"/>
          <w:lang w:val="en-US" w:eastAsia="zh-CN" w:bidi="ar-SA"/>
        </w:rPr>
        <w:t>进修学习内容须为中医药类相关内容（中医药管理专业除外），且进修专业须与申报专业</w:t>
      </w:r>
      <w:r>
        <w:rPr>
          <w:rFonts w:hint="default" w:ascii="Times New Roman" w:hAnsi="Times New Roman" w:eastAsia="仿宋_GB2312" w:cs="Times New Roman"/>
          <w:spacing w:val="0"/>
          <w:sz w:val="32"/>
          <w:szCs w:val="32"/>
          <w:lang w:val="en-US" w:eastAsia="zh-CN"/>
        </w:rPr>
        <w:t>一致或相近。</w:t>
      </w:r>
    </w:p>
    <w:p w14:paraId="574BC949">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医师类在省、市三级医疗卫生机构的，应到全国知名医疗机构全脱产规范化进修不少于3个月；在县级医疗卫生机构的，须到市级及以上医疗机构全脱产规范化进修6个月；在乡镇卫生院（社区卫生服务中心）的，须到县级及以上医疗机构全脱产规范化进修6个月。药、护、技师类须到上级医疗机构完成3个月以上的连续全脱产进修学习（省、市三级医疗卫生机构的除外）。</w:t>
      </w:r>
    </w:p>
    <w:p w14:paraId="4DEAB37A">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申报人员应选择等级或学科专科水平高于所在单位的医疗机构进修；在县区级医联体中工作的申报人员不可选择本医联体内县区级医疗机构进修；申报人员所在医疗机构挂牌为县区级医院的，须到市级及以上医疗机构进修学习。</w:t>
      </w:r>
    </w:p>
    <w:p w14:paraId="5E033315">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省中医药局所属医疗机构的中医药专业技术人员须到省外本学科、专科水平高于所在单位的省属、央属三级甲等医疗机构进修，确保进修质量。</w:t>
      </w:r>
    </w:p>
    <w:p w14:paraId="789B1E13">
      <w:pPr>
        <w:keepNext w:val="0"/>
        <w:keepLines w:val="0"/>
        <w:pageBreakBefore w:val="0"/>
        <w:widowControl w:val="0"/>
        <w:numPr>
          <w:ilvl w:val="-1"/>
          <w:numId w:val="0"/>
        </w:numPr>
        <w:kinsoku/>
        <w:wordWrap/>
        <w:topLinePunct w:val="0"/>
        <w:autoSpaceDE/>
        <w:autoSpaceDN/>
        <w:bidi w:val="0"/>
        <w:adjustRightInd w:val="0"/>
        <w:snapToGrid w:val="0"/>
        <w:spacing w:beforeAutospacing="0" w:line="576" w:lineRule="exact"/>
        <w:ind w:left="0" w:firstLine="640" w:firstLineChars="0"/>
        <w:textAlignment w:val="auto"/>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仿宋_GB2312" w:cs="Times New Roman"/>
          <w:b w:val="0"/>
          <w:sz w:val="32"/>
          <w:szCs w:val="32"/>
          <w:highlight w:val="none"/>
          <w:lang w:val="en-US" w:eastAsia="zh-CN"/>
        </w:rPr>
        <w:t>任现职以来，符合下列条件之一的，可免进修学习：</w:t>
      </w:r>
    </w:p>
    <w:p w14:paraId="70A5F233">
      <w:pPr>
        <w:keepNext w:val="0"/>
        <w:keepLines w:val="0"/>
        <w:pageBreakBefore w:val="0"/>
        <w:widowControl w:val="0"/>
        <w:numPr>
          <w:ilvl w:val="-1"/>
          <w:numId w:val="0"/>
        </w:numPr>
        <w:kinsoku/>
        <w:wordWrap/>
        <w:topLinePunct w:val="0"/>
        <w:autoSpaceDE/>
        <w:autoSpaceDN/>
        <w:bidi w:val="0"/>
        <w:adjustRightInd w:val="0"/>
        <w:snapToGrid w:val="0"/>
        <w:spacing w:beforeAutospacing="0" w:line="576" w:lineRule="exact"/>
        <w:ind w:left="0" w:firstLine="640" w:firstLineChars="0"/>
        <w:textAlignment w:val="auto"/>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仿宋_GB2312" w:cs="Times New Roman"/>
          <w:b w:val="0"/>
          <w:sz w:val="32"/>
          <w:szCs w:val="32"/>
          <w:highlight w:val="none"/>
          <w:lang w:val="en-US" w:eastAsia="zh-CN"/>
        </w:rPr>
        <w:t>（一）援外</w:t>
      </w:r>
      <w:r>
        <w:rPr>
          <w:rFonts w:hint="default" w:ascii="Times New Roman" w:hAnsi="Times New Roman" w:eastAsia="仿宋_GB2312" w:cs="Times New Roman"/>
          <w:b w:val="0"/>
          <w:bCs w:val="0"/>
          <w:sz w:val="32"/>
          <w:szCs w:val="40"/>
          <w:lang w:val="en-US" w:eastAsia="zh-CN"/>
        </w:rPr>
        <w:t>（含国家、省级中医药海外中心派驻人员）</w:t>
      </w:r>
      <w:r>
        <w:rPr>
          <w:rFonts w:hint="default" w:ascii="Times New Roman" w:hAnsi="Times New Roman" w:eastAsia="仿宋_GB2312" w:cs="Times New Roman"/>
          <w:b w:val="0"/>
          <w:sz w:val="32"/>
          <w:szCs w:val="32"/>
          <w:highlight w:val="none"/>
          <w:lang w:val="en-US" w:eastAsia="zh-CN"/>
        </w:rPr>
        <w:t>、援藏、援彝1年及以上的；</w:t>
      </w:r>
    </w:p>
    <w:p w14:paraId="2B5423B7">
      <w:pPr>
        <w:keepNext w:val="0"/>
        <w:keepLines w:val="0"/>
        <w:pageBreakBefore w:val="0"/>
        <w:widowControl w:val="0"/>
        <w:numPr>
          <w:ilvl w:val="-1"/>
          <w:numId w:val="0"/>
        </w:numPr>
        <w:kinsoku/>
        <w:wordWrap/>
        <w:topLinePunct w:val="0"/>
        <w:autoSpaceDE/>
        <w:autoSpaceDN/>
        <w:bidi w:val="0"/>
        <w:adjustRightInd w:val="0"/>
        <w:snapToGrid w:val="0"/>
        <w:spacing w:beforeAutospacing="0" w:line="576" w:lineRule="exact"/>
        <w:ind w:left="0" w:firstLine="640" w:firstLineChars="0"/>
        <w:textAlignment w:val="auto"/>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仿宋_GB2312" w:cs="Times New Roman"/>
          <w:b w:val="0"/>
          <w:sz w:val="32"/>
          <w:szCs w:val="32"/>
          <w:highlight w:val="none"/>
          <w:lang w:val="en-US" w:eastAsia="zh-CN"/>
        </w:rPr>
        <w:t>（二）参加贫困地区城乡医疗卫生对口支援“传帮带”工程、</w:t>
      </w:r>
      <w:r>
        <w:rPr>
          <w:rFonts w:hint="default" w:ascii="Times New Roman" w:hAnsi="Times New Roman" w:eastAsia="仿宋_GB2312" w:cs="Times New Roman"/>
          <w:b w:val="0"/>
          <w:sz w:val="32"/>
          <w:szCs w:val="32"/>
          <w:highlight w:val="none"/>
        </w:rPr>
        <w:t>综合帮扶凉山州脱贫攻坚工作队、脱贫村驻村工作队等脱贫攻坚和乡村振兴工作服务期满</w:t>
      </w:r>
      <w:r>
        <w:rPr>
          <w:rFonts w:hint="default" w:ascii="Times New Roman" w:hAnsi="Times New Roman" w:eastAsia="仿宋_GB2312" w:cs="Times New Roman"/>
          <w:b w:val="0"/>
          <w:sz w:val="32"/>
          <w:szCs w:val="32"/>
          <w:highlight w:val="none"/>
          <w:lang w:val="en-US" w:eastAsia="zh-CN"/>
        </w:rPr>
        <w:t>，且年度考核结果为合格及以上的；参加“组团式”帮扶乡村振兴重点帮扶任务，按规定完成1年及以上帮扶任务，且年度考核结果为合格及以上的；</w:t>
      </w:r>
    </w:p>
    <w:p w14:paraId="62E437C8">
      <w:pPr>
        <w:keepNext w:val="0"/>
        <w:keepLines w:val="0"/>
        <w:pageBreakBefore w:val="0"/>
        <w:widowControl w:val="0"/>
        <w:numPr>
          <w:ilvl w:val="-1"/>
          <w:numId w:val="0"/>
        </w:numPr>
        <w:kinsoku/>
        <w:wordWrap/>
        <w:topLinePunct w:val="0"/>
        <w:autoSpaceDE/>
        <w:autoSpaceDN/>
        <w:bidi w:val="0"/>
        <w:adjustRightInd w:val="0"/>
        <w:snapToGrid w:val="0"/>
        <w:spacing w:beforeAutospacing="0" w:line="576" w:lineRule="exact"/>
        <w:ind w:left="0" w:firstLine="640" w:firstLineChars="0"/>
        <w:textAlignment w:val="auto"/>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仿宋_GB2312" w:cs="Times New Roman"/>
          <w:b w:val="0"/>
          <w:sz w:val="32"/>
          <w:szCs w:val="32"/>
          <w:highlight w:val="none"/>
          <w:lang w:val="en-US" w:eastAsia="zh-CN"/>
        </w:rPr>
        <w:t>（三）取得中医住院医师规范化培训、中医全科医师转岗培合格证的，且在评审上一级职称时未使用者；</w:t>
      </w:r>
    </w:p>
    <w:p w14:paraId="5E7BA29B">
      <w:pPr>
        <w:keepNext w:val="0"/>
        <w:keepLines w:val="0"/>
        <w:pageBreakBefore w:val="0"/>
        <w:widowControl w:val="0"/>
        <w:numPr>
          <w:ilvl w:val="-1"/>
          <w:numId w:val="0"/>
        </w:numPr>
        <w:kinsoku/>
        <w:wordWrap/>
        <w:topLinePunct w:val="0"/>
        <w:autoSpaceDE/>
        <w:autoSpaceDN/>
        <w:bidi w:val="0"/>
        <w:adjustRightInd w:val="0"/>
        <w:snapToGrid w:val="0"/>
        <w:spacing w:beforeAutospacing="0" w:line="576" w:lineRule="exact"/>
        <w:ind w:left="0" w:firstLine="640" w:firstLineChars="0"/>
        <w:textAlignment w:val="auto"/>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仿宋_GB2312" w:cs="Times New Roman"/>
          <w:b w:val="0"/>
          <w:sz w:val="32"/>
          <w:szCs w:val="32"/>
          <w:highlight w:val="none"/>
          <w:lang w:val="en-US" w:eastAsia="zh-CN"/>
        </w:rPr>
        <w:t>（四）参加省级及以上中医药行政部门举办的中医药人才培养项目，且累计参训时间超过6个月的；</w:t>
      </w:r>
    </w:p>
    <w:p w14:paraId="1046F5B4">
      <w:pPr>
        <w:keepNext w:val="0"/>
        <w:keepLines w:val="0"/>
        <w:pageBreakBefore w:val="0"/>
        <w:widowControl w:val="0"/>
        <w:numPr>
          <w:ilvl w:val="-1"/>
          <w:numId w:val="0"/>
        </w:numPr>
        <w:kinsoku/>
        <w:wordWrap/>
        <w:topLinePunct w:val="0"/>
        <w:autoSpaceDE/>
        <w:autoSpaceDN/>
        <w:bidi w:val="0"/>
        <w:adjustRightInd w:val="0"/>
        <w:snapToGrid w:val="0"/>
        <w:spacing w:beforeAutospacing="0" w:line="576" w:lineRule="exact"/>
        <w:ind w:left="0" w:firstLine="640" w:firstLineChars="0"/>
        <w:textAlignment w:val="auto"/>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仿宋_GB2312" w:cs="Times New Roman"/>
          <w:b w:val="0"/>
          <w:sz w:val="32"/>
          <w:szCs w:val="32"/>
          <w:highlight w:val="none"/>
          <w:lang w:val="en-US" w:eastAsia="zh-CN"/>
        </w:rPr>
        <w:t>（五）博士后期满出站人员；</w:t>
      </w:r>
    </w:p>
    <w:p w14:paraId="3EE7936F">
      <w:pPr>
        <w:keepNext w:val="0"/>
        <w:keepLines w:val="0"/>
        <w:pageBreakBefore w:val="0"/>
        <w:widowControl w:val="0"/>
        <w:numPr>
          <w:ilvl w:val="-1"/>
          <w:numId w:val="0"/>
        </w:numPr>
        <w:kinsoku/>
        <w:wordWrap/>
        <w:topLinePunct w:val="0"/>
        <w:autoSpaceDE/>
        <w:autoSpaceDN/>
        <w:bidi w:val="0"/>
        <w:adjustRightInd w:val="0"/>
        <w:snapToGrid w:val="0"/>
        <w:spacing w:beforeAutospacing="0" w:line="576" w:lineRule="exact"/>
        <w:ind w:left="0" w:firstLine="640" w:firstLineChars="0"/>
        <w:textAlignment w:val="auto"/>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仿宋_GB2312" w:cs="Times New Roman"/>
          <w:b w:val="0"/>
          <w:sz w:val="32"/>
          <w:szCs w:val="32"/>
          <w:highlight w:val="none"/>
          <w:lang w:val="en-US" w:eastAsia="zh-CN"/>
        </w:rPr>
        <w:t>（六）取得本专业高一级学历或学位的；</w:t>
      </w:r>
    </w:p>
    <w:p w14:paraId="3EE23493">
      <w:pPr>
        <w:keepNext w:val="0"/>
        <w:keepLines w:val="0"/>
        <w:pageBreakBefore w:val="0"/>
        <w:widowControl w:val="0"/>
        <w:numPr>
          <w:ilvl w:val="-1"/>
          <w:numId w:val="0"/>
        </w:numPr>
        <w:kinsoku/>
        <w:wordWrap/>
        <w:topLinePunct w:val="0"/>
        <w:autoSpaceDE/>
        <w:autoSpaceDN/>
        <w:bidi w:val="0"/>
        <w:adjustRightInd w:val="0"/>
        <w:snapToGrid w:val="0"/>
        <w:spacing w:beforeAutospacing="0" w:line="576" w:lineRule="exact"/>
        <w:ind w:left="0" w:firstLine="640" w:firstLineChars="0"/>
        <w:textAlignment w:val="auto"/>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仿宋_GB2312" w:cs="Times New Roman"/>
          <w:b w:val="0"/>
          <w:sz w:val="32"/>
          <w:szCs w:val="32"/>
          <w:highlight w:val="none"/>
          <w:lang w:val="en-US" w:eastAsia="zh-CN"/>
        </w:rPr>
        <w:t>（七）在省、市（州）三级医疗卫生机构工作的药、护、技类人员；在省、市（州）三级医疗卫生机构工作2年及以上后到基层医疗卫生机构工作的；</w:t>
      </w:r>
    </w:p>
    <w:p w14:paraId="07878630">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sz w:val="32"/>
          <w:szCs w:val="32"/>
          <w:highlight w:val="none"/>
          <w:lang w:val="en-US" w:eastAsia="zh-CN"/>
        </w:rPr>
        <w:t>（八）</w:t>
      </w:r>
      <w:r>
        <w:rPr>
          <w:rFonts w:hint="default" w:ascii="Times New Roman" w:hAnsi="Times New Roman" w:eastAsia="仿宋_GB2312" w:cs="Times New Roman"/>
          <w:b w:val="0"/>
          <w:bCs w:val="0"/>
          <w:sz w:val="32"/>
          <w:szCs w:val="40"/>
          <w:lang w:val="en-US" w:eastAsia="zh-CN"/>
        </w:rPr>
        <w:t>参加疫情防控的一线中医药专业技术人员</w:t>
      </w:r>
      <w:r>
        <w:rPr>
          <w:rFonts w:hint="default" w:ascii="Times New Roman" w:hAnsi="Times New Roman" w:eastAsia="仿宋_GB2312" w:cs="Times New Roman"/>
          <w:b w:val="0"/>
          <w:sz w:val="32"/>
          <w:szCs w:val="32"/>
          <w:highlight w:val="none"/>
          <w:lang w:val="en-US" w:eastAsia="zh-CN"/>
        </w:rPr>
        <w:t>（参</w:t>
      </w:r>
      <w:r>
        <w:rPr>
          <w:rFonts w:hint="eastAsia" w:ascii="Times New Roman" w:hAnsi="Times New Roman" w:eastAsia="仿宋_GB2312" w:cs="Times New Roman"/>
          <w:b w:val="0"/>
          <w:sz w:val="32"/>
          <w:szCs w:val="32"/>
          <w:highlight w:val="none"/>
          <w:lang w:val="en-US" w:eastAsia="zh-CN"/>
        </w:rPr>
        <w:t>加</w:t>
      </w:r>
      <w:r>
        <w:rPr>
          <w:rFonts w:hint="default" w:ascii="Times New Roman" w:hAnsi="Times New Roman" w:eastAsia="仿宋_GB2312" w:cs="Times New Roman"/>
          <w:b w:val="0"/>
          <w:sz w:val="32"/>
          <w:szCs w:val="32"/>
          <w:highlight w:val="none"/>
          <w:lang w:val="en-US" w:eastAsia="zh-CN"/>
        </w:rPr>
        <w:t>支援武汉、新疆、道孚且有津贴）、</w:t>
      </w:r>
      <w:r>
        <w:rPr>
          <w:rFonts w:hint="default" w:ascii="Times New Roman" w:hAnsi="Times New Roman" w:eastAsia="仿宋_GB2312" w:cs="Times New Roman"/>
          <w:b w:val="0"/>
          <w:bCs w:val="0"/>
          <w:sz w:val="32"/>
          <w:szCs w:val="40"/>
          <w:lang w:val="en-US" w:eastAsia="zh-CN"/>
        </w:rPr>
        <w:t>综合帮扶凉山州脱贫攻坚工作队的队员；如在晋升现职时未使用相关倾斜条件，在晋升下一级职称时可使用一次，时间可不在任现职年限，但需提供未使用倾斜条件的相关证明。</w:t>
      </w:r>
    </w:p>
    <w:p w14:paraId="19DC2C63">
      <w:pPr>
        <w:pStyle w:val="3"/>
        <w:keepNext w:val="0"/>
        <w:keepLines w:val="0"/>
        <w:pageBreakBefore w:val="0"/>
        <w:widowControl w:val="0"/>
        <w:numPr>
          <w:ilvl w:val="0"/>
          <w:numId w:val="0"/>
        </w:numPr>
        <w:kinsoku/>
        <w:wordWrap/>
        <w:topLinePunct w:val="0"/>
        <w:bidi w:val="0"/>
        <w:spacing w:line="576" w:lineRule="exact"/>
        <w:ind w:leftChars="0" w:firstLine="640" w:firstLineChars="200"/>
        <w:rPr>
          <w:rFonts w:hint="default" w:ascii="Times New Roman" w:hAnsi="Times New Roman" w:eastAsia="黑体"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六、对口支援要求</w:t>
      </w:r>
    </w:p>
    <w:p w14:paraId="22ED7C01">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sz w:val="32"/>
          <w:szCs w:val="32"/>
          <w:highlight w:val="none"/>
          <w:lang w:val="en-US" w:eastAsia="zh-CN"/>
        </w:rPr>
      </w:pPr>
      <w:r>
        <w:rPr>
          <w:rFonts w:hint="default" w:ascii="Times New Roman" w:hAnsi="Times New Roman" w:eastAsia="仿宋_GB2312" w:cs="Times New Roman"/>
          <w:b w:val="0"/>
          <w:color w:val="auto"/>
          <w:sz w:val="32"/>
          <w:szCs w:val="32"/>
          <w:highlight w:val="none"/>
        </w:rPr>
        <w:t>省、市（州）医疗卫生机构和县二级及以上医疗机构的执业医师在申报中医类别副主任医师职称评审前，</w:t>
      </w:r>
      <w:r>
        <w:rPr>
          <w:rFonts w:hint="default" w:ascii="Times New Roman" w:hAnsi="Times New Roman" w:eastAsia="仿宋_GB2312" w:cs="Times New Roman"/>
          <w:b w:val="0"/>
          <w:sz w:val="32"/>
          <w:szCs w:val="32"/>
          <w:highlight w:val="none"/>
          <w:lang w:val="en-US" w:eastAsia="zh-CN"/>
        </w:rPr>
        <w:t>须按要求完成任现职期间对口支援并考核合格，未公布考核结果的人员不得申报中医药高级职称。</w:t>
      </w:r>
      <w:r>
        <w:rPr>
          <w:rFonts w:hint="default" w:ascii="Times New Roman" w:hAnsi="Times New Roman" w:eastAsia="仿宋_GB2312" w:cs="Times New Roman"/>
          <w:b w:val="0"/>
          <w:bCs w:val="0"/>
          <w:sz w:val="32"/>
          <w:szCs w:val="40"/>
          <w:lang w:val="en-US" w:eastAsia="zh-CN"/>
        </w:rPr>
        <w:t>进修学习时间不得与对口支援时间相重叠。</w:t>
      </w:r>
    </w:p>
    <w:p w14:paraId="16F14C90">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符合下列条件之一的，可免对口支援要求：</w:t>
      </w:r>
    </w:p>
    <w:p w14:paraId="4E002281">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（一）距法定退休年龄不足5年的；</w:t>
      </w:r>
    </w:p>
    <w:p w14:paraId="7C9AB8DF">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（二）在二甲及以下省级部门直属医疗卫生机构和市、县级急救调度指挥中心、采供血机构等医疗卫生机构工作的；</w:t>
      </w:r>
    </w:p>
    <w:p w14:paraId="2504168C">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（三）在部队团及团以下医疗卫生机构工作2年及以上；</w:t>
      </w:r>
    </w:p>
    <w:p w14:paraId="28A24B07">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（四）在乡镇卫生院、社区卫生服务机构工作2年及以上；</w:t>
      </w:r>
    </w:p>
    <w:p w14:paraId="5685D89B">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（五）援外（含国家、省级中医药海外中心派驻人员）、援藏、援彝等1年及以上的；</w:t>
      </w:r>
    </w:p>
    <w:p w14:paraId="22BA2D7B">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（六）在三州县级及全省脱贫县、民族县县级医疗卫生单位工作的；州、县两级及全省脱贫县、民族县县级医疗卫生机构不安排与职称晋升挂钩的长期下派驻点对口支援任务。</w:t>
      </w:r>
    </w:p>
    <w:p w14:paraId="655AE7B3">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（七）执行中医强基层“百千万”行动任务、中医药区域合作项目任务，累计时间满一年且考核合格，视为完成对口支援；参加“百千万行动”工作量表累计工作量达到65天算合格；</w:t>
      </w:r>
    </w:p>
    <w:p w14:paraId="01FA7D46">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（八）执行省中医药对外合作任务的中医药专业技术人员执行任务满1年且考核合格者；</w:t>
      </w:r>
    </w:p>
    <w:p w14:paraId="170CC57C">
      <w:pPr>
        <w:keepNext w:val="0"/>
        <w:keepLines w:val="0"/>
        <w:pageBreakBefore w:val="0"/>
        <w:widowControl w:val="0"/>
        <w:numPr>
          <w:ilvl w:val="0"/>
          <w:numId w:val="0"/>
        </w:numPr>
        <w:kinsoku/>
        <w:wordWrap/>
        <w:topLinePunct w:val="0"/>
        <w:bidi w:val="0"/>
        <w:spacing w:line="576" w:lineRule="exact"/>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（九）参加疫情防控的一线中医药专业技术人员</w:t>
      </w:r>
      <w:r>
        <w:rPr>
          <w:rFonts w:hint="default" w:ascii="Times New Roman" w:hAnsi="Times New Roman" w:eastAsia="仿宋_GB2312" w:cs="Times New Roman"/>
          <w:b w:val="0"/>
          <w:sz w:val="32"/>
          <w:szCs w:val="32"/>
          <w:highlight w:val="none"/>
          <w:lang w:val="en-US" w:eastAsia="zh-CN"/>
        </w:rPr>
        <w:t>（参</w:t>
      </w:r>
      <w:r>
        <w:rPr>
          <w:rFonts w:hint="eastAsia" w:ascii="Times New Roman" w:hAnsi="Times New Roman" w:eastAsia="仿宋_GB2312" w:cs="Times New Roman"/>
          <w:b w:val="0"/>
          <w:sz w:val="32"/>
          <w:szCs w:val="32"/>
          <w:highlight w:val="none"/>
          <w:lang w:val="en-US" w:eastAsia="zh-CN"/>
        </w:rPr>
        <w:t>加</w:t>
      </w:r>
      <w:r>
        <w:rPr>
          <w:rFonts w:hint="default" w:ascii="Times New Roman" w:hAnsi="Times New Roman" w:eastAsia="仿宋_GB2312" w:cs="Times New Roman"/>
          <w:b w:val="0"/>
          <w:sz w:val="32"/>
          <w:szCs w:val="32"/>
          <w:highlight w:val="none"/>
          <w:lang w:val="en-US" w:eastAsia="zh-CN"/>
        </w:rPr>
        <w:t>支援武汉、新疆、道孚且有津贴）、</w:t>
      </w:r>
      <w:r>
        <w:rPr>
          <w:rFonts w:hint="default" w:ascii="Times New Roman" w:hAnsi="Times New Roman" w:eastAsia="仿宋_GB2312" w:cs="Times New Roman"/>
          <w:b w:val="0"/>
          <w:bCs w:val="0"/>
          <w:sz w:val="32"/>
          <w:szCs w:val="40"/>
          <w:lang w:val="en-US" w:eastAsia="zh-CN"/>
        </w:rPr>
        <w:t>综合帮扶凉山州脱贫攻坚工作队的队员；如在晋升现职时未使用相关倾斜条件，在晋升下一级职称时可使用一次，时间可不在任现职年限，但需提供未使用倾斜条件的相关证明。</w:t>
      </w:r>
    </w:p>
    <w:p w14:paraId="7A129C8D">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lang w:val="en-US" w:eastAsia="zh-CN"/>
        </w:rPr>
        <w:t>七、有关业绩成果代表作要求</w:t>
      </w:r>
    </w:p>
    <w:p w14:paraId="72D4A025">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（一）推广中医药适宜技术或解决本专业常见问题的技术操作、教学推广、手术视频</w:t>
      </w:r>
      <w:r>
        <w:rPr>
          <w:rFonts w:hint="eastAsia" w:ascii="Times New Roman" w:hAnsi="Times New Roman" w:eastAsia="仿宋_GB2312" w:cs="Times New Roman"/>
          <w:snapToGrid w:val="0"/>
          <w:color w:val="000000"/>
          <w:spacing w:val="0"/>
          <w:kern w:val="0"/>
          <w:sz w:val="32"/>
          <w:szCs w:val="32"/>
          <w:lang w:val="en-US" w:eastAsia="zh-CN" w:bidi="ar-SA"/>
        </w:rPr>
        <w:t>。</w:t>
      </w:r>
    </w:p>
    <w:p w14:paraId="77D9074A">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1.将推广中医药适宜技术作为业绩成果代表作，须参加市级及以上中医药行政部门组织的中医药适宜技术下基层活动或担任授课老师，并提供授课教案或推广的内容文字材料（不少于2000字）、活动通知和报道作为佐证材料。</w:t>
      </w:r>
    </w:p>
    <w:p w14:paraId="3543CDF5">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snapToGrid w:val="0"/>
          <w:color w:val="000000"/>
          <w:spacing w:val="0"/>
          <w:kern w:val="0"/>
          <w:sz w:val="32"/>
          <w:szCs w:val="32"/>
          <w:lang w:val="en-US" w:eastAsia="zh-CN" w:bidi="ar-SA"/>
        </w:rPr>
        <w:t>2.将解决本专业常见问题作为业绩成果代表作，须提供对应成果的文字材料（不少于2000字）及相应成果佐证（视频、教案、病案等）。技术操作视频内容须符合中医诊疗常规，指导性强，时间不少于20分钟。</w:t>
      </w:r>
    </w:p>
    <w:p w14:paraId="6880744E">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napToGrid w:val="0"/>
          <w:color w:val="000000"/>
          <w:spacing w:val="0"/>
          <w:kern w:val="0"/>
          <w:sz w:val="32"/>
          <w:szCs w:val="32"/>
          <w:lang w:val="en-US" w:eastAsia="zh-CN" w:bidi="ar-SA"/>
        </w:rPr>
        <w:t>3.将手术视频作为业绩成果代表作，申报中医药副高级职称评审，须是本人任现职期间主刀完成的本专业</w:t>
      </w:r>
      <w:r>
        <w:rPr>
          <w:rFonts w:hint="default" w:ascii="Times New Roman" w:hAnsi="Times New Roman" w:eastAsia="仿宋_GB2312" w:cs="Times New Roman"/>
          <w:spacing w:val="0"/>
          <w:sz w:val="32"/>
          <w:szCs w:val="32"/>
          <w:lang w:val="en-US" w:eastAsia="zh-CN"/>
        </w:rPr>
        <w:t>三级手术；申报中医药正高级职称评审的，须是本人任现职期间主刀完成的本专业四级手术。申报人员提交的手术视频（应含手术操作主要步骤）应清晰流畅，分辨率不低于1920*1080，帧数率不低于25帧/秒，使用MP4、AVI等通用格式，时长应在10—30分钟内，且须提交手术简介（2000字以内）、手术操作单（记录单）及其他相关原始佐证资料（含原始临床住院病案）。</w:t>
      </w:r>
    </w:p>
    <w:p w14:paraId="4E724250">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spacing w:val="0"/>
          <w:sz w:val="32"/>
          <w:szCs w:val="32"/>
          <w:lang w:val="en-US" w:eastAsia="zh-CN"/>
        </w:rPr>
        <w:t>（二）收治患者CMI值大于本单位本专业同职称医师年平均值；中医药治疗情况：</w:t>
      </w:r>
      <w:r>
        <w:rPr>
          <w:rFonts w:hint="default" w:ascii="Times New Roman" w:hAnsi="Times New Roman" w:eastAsia="仿宋_GB2312" w:cs="Times New Roman"/>
          <w:color w:val="000000"/>
          <w:kern w:val="0"/>
          <w:sz w:val="32"/>
          <w:szCs w:val="32"/>
          <w:highlight w:val="none"/>
          <w:lang w:val="en-US" w:eastAsia="zh-CN" w:bidi="ar"/>
        </w:rPr>
        <w:t>门诊患者中药饮片处方比例，出院患者中医治疗数量比例，</w:t>
      </w:r>
      <w:r>
        <w:rPr>
          <w:rFonts w:hint="default" w:ascii="Times New Roman" w:hAnsi="Times New Roman" w:eastAsia="仿宋_GB2312" w:cs="Times New Roman"/>
          <w:color w:val="000000"/>
          <w:kern w:val="0"/>
          <w:sz w:val="32"/>
          <w:szCs w:val="32"/>
          <w:highlight w:val="none"/>
          <w:lang w:bidi="ar"/>
        </w:rPr>
        <w:t>中医药治疗疗效</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患者满意度。</w:t>
      </w:r>
    </w:p>
    <w:p w14:paraId="24B742A1">
      <w:pPr>
        <w:pStyle w:val="3"/>
        <w:keepNext w:val="0"/>
        <w:keepLines w:val="0"/>
        <w:pageBreakBefore w:val="0"/>
        <w:widowControl w:val="0"/>
        <w:kinsoku/>
        <w:wordWrap/>
        <w:topLinePunct w:val="0"/>
        <w:bidi w:val="0"/>
        <w:spacing w:line="576" w:lineRule="exact"/>
        <w:ind w:left="0" w:leftChars="0" w:firstLine="640" w:firstLineChars="200"/>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1.将收治</w:t>
      </w:r>
      <w:r>
        <w:rPr>
          <w:rFonts w:hint="default" w:ascii="Times New Roman" w:hAnsi="Times New Roman" w:eastAsia="仿宋_GB2312" w:cs="Times New Roman"/>
          <w:spacing w:val="0"/>
          <w:sz w:val="32"/>
          <w:szCs w:val="32"/>
          <w:lang w:val="en-US" w:eastAsia="zh-CN"/>
        </w:rPr>
        <w:t>患者CMI值大于本单位和本地区本专业同职称医师年平均值作为</w:t>
      </w:r>
      <w:r>
        <w:rPr>
          <w:rFonts w:hint="default" w:ascii="Times New Roman" w:hAnsi="Times New Roman" w:eastAsia="仿宋_GB2312" w:cs="Times New Roman"/>
          <w:snapToGrid w:val="0"/>
          <w:color w:val="000000"/>
          <w:spacing w:val="0"/>
          <w:kern w:val="0"/>
          <w:sz w:val="32"/>
          <w:szCs w:val="32"/>
          <w:lang w:val="en-US" w:eastAsia="zh-CN" w:bidi="ar-SA"/>
        </w:rPr>
        <w:t>业绩成果代表作，须由申报人员所在单位提供与申报人员同专业同职称全单位所有人员的职称证书，参与比较人数不少于5人。</w:t>
      </w:r>
    </w:p>
    <w:p w14:paraId="47E76E8E">
      <w:pPr>
        <w:pStyle w:val="3"/>
        <w:keepNext w:val="0"/>
        <w:keepLines w:val="0"/>
        <w:pageBreakBefore w:val="0"/>
        <w:widowControl w:val="0"/>
        <w:kinsoku/>
        <w:wordWrap/>
        <w:topLinePunct w:val="0"/>
        <w:bidi w:val="0"/>
        <w:spacing w:line="576" w:lineRule="exact"/>
        <w:ind w:left="0" w:leftChars="0"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kern w:val="0"/>
          <w:sz w:val="32"/>
          <w:szCs w:val="32"/>
          <w:highlight w:val="none"/>
          <w:lang w:val="en-US" w:eastAsia="zh-CN" w:bidi="ar"/>
        </w:rPr>
        <w:t>2.门诊患者中药饮片处方，出院患者中医治疗数量比例，均须从医院信息系统中提取。证明申报人员中医药治疗疗效好，申报普通中医药高级职称者须由三名高年资正高专家进行论证，申报基层中医药高级职称者须由一名高年资正高专家进行论证，并提供专家名单、职称证书及论证报告。患者满意度须提供医院负责满意度调查的相关部门提供的数据。</w:t>
      </w:r>
    </w:p>
    <w:p w14:paraId="23D82F6F">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（三）技术专利</w:t>
      </w:r>
      <w:r>
        <w:rPr>
          <w:rFonts w:hint="eastAsia" w:ascii="Times New Roman" w:hAnsi="Times New Roman" w:eastAsia="仿宋_GB2312" w:cs="Times New Roman"/>
          <w:spacing w:val="0"/>
          <w:sz w:val="32"/>
          <w:szCs w:val="32"/>
          <w:lang w:val="en-US" w:eastAsia="zh-CN"/>
        </w:rPr>
        <w:t>。</w:t>
      </w:r>
    </w:p>
    <w:p w14:paraId="78E6CC11">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pacing w:val="0"/>
          <w:sz w:val="32"/>
          <w:szCs w:val="32"/>
          <w:lang w:val="en-US" w:eastAsia="zh-CN"/>
        </w:rPr>
        <w:t>从2025年开始将国家发明专利或实用新型专利作为业绩成果代表作的，须是本人任现职期间已完成转化的专利，须提供转化协议和到账经费证明，并将专利的转化效益作为重要评价标准。将专利作为成果代表作之一，其转化金额不能再次用于</w:t>
      </w:r>
      <w:r>
        <w:rPr>
          <w:rFonts w:hint="default" w:ascii="Times New Roman" w:hAnsi="Times New Roman" w:eastAsia="仿宋_GB2312" w:cs="Times New Roman"/>
          <w:color w:val="auto"/>
          <w:sz w:val="32"/>
          <w:szCs w:val="32"/>
          <w:highlight w:val="none"/>
        </w:rPr>
        <w:t>科技成果转化</w:t>
      </w:r>
      <w:r>
        <w:rPr>
          <w:rFonts w:hint="default" w:ascii="Times New Roman" w:hAnsi="Times New Roman" w:eastAsia="仿宋_GB2312" w:cs="Times New Roman"/>
          <w:color w:val="auto"/>
          <w:sz w:val="32"/>
          <w:szCs w:val="32"/>
          <w:highlight w:val="none"/>
          <w:lang w:val="en-US" w:eastAsia="zh-CN"/>
        </w:rPr>
        <w:t>作为另一项业绩</w:t>
      </w:r>
      <w:r>
        <w:rPr>
          <w:rFonts w:hint="default" w:ascii="Times New Roman" w:hAnsi="Times New Roman" w:eastAsia="仿宋_GB2312" w:cs="Times New Roman"/>
          <w:color w:val="auto"/>
          <w:sz w:val="32"/>
          <w:szCs w:val="32"/>
          <w:highlight w:val="none"/>
          <w:lang w:eastAsia="zh-CN"/>
        </w:rPr>
        <w:t>。</w:t>
      </w:r>
    </w:p>
    <w:p w14:paraId="4F0CC408">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（四）学术论文</w:t>
      </w:r>
      <w:r>
        <w:rPr>
          <w:rFonts w:hint="eastAsia" w:ascii="Times New Roman" w:hAnsi="Times New Roman" w:eastAsia="仿宋_GB2312" w:cs="Times New Roman"/>
          <w:spacing w:val="0"/>
          <w:sz w:val="32"/>
          <w:szCs w:val="32"/>
          <w:lang w:val="en-US" w:eastAsia="zh-CN"/>
        </w:rPr>
        <w:t>。</w:t>
      </w:r>
    </w:p>
    <w:p w14:paraId="2E360DD3">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学术论文限独著或第一作者，不含通讯作者，出现并列第一作者的文章仅供排名第一者使用。</w:t>
      </w:r>
    </w:p>
    <w:p w14:paraId="09C8144D">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报中医药高级职称工作业绩成果代表作的学术论文，须是申报人员本人任现职以来，发表在中国科学技术信息研究所《中国科技期刊引证报告（核心版）》、北京大学图书馆《中文核心期刊要目总览》、SCI收录期刊发表的本专业学术论文，论文正文字数须不少于3000字。申报人员须提交权威检索机构的检索凭证原件1份，凡发表外文期刊须提供中文翻译。其中，SCI收录论文要求同时检索分区情况，分区应以中国科学院期刊分区（大类）为准，其他分区方式无效。</w:t>
      </w:r>
    </w:p>
    <w:p w14:paraId="08DED313">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作为业绩成果代表作的其他本专业论文须能在国家新闻出版署网站（www.nppa.gov.cn）查询到、公开发行，且论文正文字数须不少于2000字。</w:t>
      </w:r>
    </w:p>
    <w:p w14:paraId="078BEF28">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文章清样、刊用通知、增刊（综合刊和supplementary issue）不能认定为有效期刊。学术论文以投稿时或发表当年该期刊是否被相应期刊目录收录为准。</w:t>
      </w:r>
    </w:p>
    <w:p w14:paraId="5A8E8D47">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（五）专著</w:t>
      </w:r>
      <w:r>
        <w:rPr>
          <w:rFonts w:hint="eastAsia" w:ascii="Times New Roman" w:hAnsi="Times New Roman" w:eastAsia="仿宋_GB2312" w:cs="Times New Roman"/>
          <w:spacing w:val="0"/>
          <w:sz w:val="32"/>
          <w:szCs w:val="32"/>
          <w:lang w:val="en-US" w:eastAsia="zh-CN"/>
        </w:rPr>
        <w:t>。</w:t>
      </w:r>
    </w:p>
    <w:p w14:paraId="41DE55E8">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将专著作为业绩成果代表作的，须提供本人任现职期间在国内省级及以上出版社正式出版，能在国家图书馆和所在地省级公共图书馆查阅且与馆藏版本完全一致的专著。</w:t>
      </w:r>
    </w:p>
    <w:p w14:paraId="4A79004F">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报人员须提交正式出版的专著原件2部、新闻总署专著检索CIP数据页面下载证明、出版社出具的字数证明；专著复印件1份，复印件包括封面、扉页、图书在版编目（CIP）数据页、目录、能够显示申报人完成撰写工作量的页面（合著提供）、封底；权威检索机构的著作检索凭证原件1份（包含CIP数据核字号结果和</w:t>
      </w:r>
      <w:r>
        <w:rPr>
          <w:rFonts w:hint="default" w:ascii="Times New Roman" w:hAnsi="Times New Roman" w:eastAsia="仿宋_GB2312" w:cs="Times New Roman"/>
          <w:spacing w:val="0"/>
          <w:sz w:val="32"/>
          <w:szCs w:val="32"/>
          <w:highlight w:val="none"/>
          <w:lang w:val="en-US" w:eastAsia="zh-CN"/>
        </w:rPr>
        <w:t>文本复制检测报告）；出版合同、著作权归属书面合同。申报人员出版专著须本人直接联系出版社进行投稿、选题申报、审校、设计排版、</w:t>
      </w:r>
      <w:r>
        <w:rPr>
          <w:rFonts w:hint="default" w:ascii="Times New Roman" w:hAnsi="Times New Roman" w:eastAsia="仿宋_GB2312" w:cs="Times New Roman"/>
          <w:spacing w:val="0"/>
          <w:sz w:val="32"/>
          <w:szCs w:val="32"/>
          <w:lang w:val="en-US" w:eastAsia="zh-CN"/>
        </w:rPr>
        <w:t>印刷出版、合同签署等工作，不得委托第三方进行。</w:t>
      </w:r>
    </w:p>
    <w:p w14:paraId="2208CB2F">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（六）技能、案例、科普等竞赛奖励</w:t>
      </w:r>
    </w:p>
    <w:p w14:paraId="10DFF0C1">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将本专业技能、案例、科普等竞赛个人奖励作为业绩成果代表作的，须是本人任现职期间通过全国或本地区中医药行政部门、中医药行业学（协）会获得的本专业竞赛个人奖励。中医药行业学（协）会是指由中医药行政主管部门作为业务主管单位的社会组织，</w:t>
      </w:r>
      <w:r>
        <w:rPr>
          <w:rFonts w:hint="default" w:ascii="Times New Roman" w:hAnsi="Times New Roman" w:eastAsia="仿宋_GB2312" w:cs="Times New Roman"/>
          <w:spacing w:val="0"/>
          <w:sz w:val="32"/>
          <w:szCs w:val="32"/>
          <w:highlight w:val="none"/>
          <w:lang w:val="en-US" w:eastAsia="zh-CN"/>
        </w:rPr>
        <w:t>其举办的竞赛须由业务主管单位审批同意后开展。</w:t>
      </w:r>
      <w:r>
        <w:rPr>
          <w:rFonts w:hint="default" w:ascii="Times New Roman" w:hAnsi="Times New Roman" w:eastAsia="仿宋_GB2312" w:cs="Times New Roman"/>
          <w:spacing w:val="0"/>
          <w:sz w:val="32"/>
          <w:szCs w:val="32"/>
          <w:lang w:val="en-US" w:eastAsia="zh-CN"/>
        </w:rPr>
        <w:t>境外取得的技能、案例、科普等竞赛奖励，不能作为业绩成果代表作。相关竞赛须是由中医药行政部门或中医药行业学（协）会面向本地区中医药专业技术人员公开举办的，能反映中医药专业技术人员综合操作能力、行为规范能力、质量控制能力和学习创新能力的技能、案例、科普等竞赛。</w:t>
      </w:r>
    </w:p>
    <w:p w14:paraId="3A93CF57">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lang w:val="en-US" w:eastAsia="zh-CN"/>
        </w:rPr>
        <w:t>技能、案例、科普等竞赛要有一定的专业化、规范化、科学化水平，应建立健全竞赛全过程管理监督制度，须具备相应的竞赛组委会、组委会办公室、竞赛评判委员会、督导委员会等组织机构，竞赛规则（以实际操作比赛为主），竞赛规模（所有参赛选手不少于30人，如竞赛有区县级及以上中医药行政主管部门组织的初赛，可将初赛参与人数计算入内），选手条件，资金保障，每个赛项决赛一般设置一、二、三等奖，原则上一等奖1名、二等奖2名、三等奖3名，决赛参赛规模达到100人及以上的，可按照比例设置奖项，一、二、三等奖数量分别不超过决赛实际参赛人数的3%、6%、9%等要求</w:t>
      </w:r>
      <w:r>
        <w:rPr>
          <w:rFonts w:hint="default" w:ascii="Times New Roman" w:hAnsi="Times New Roman" w:eastAsia="仿宋_GB2312" w:cs="Times New Roman"/>
          <w:spacing w:val="0"/>
          <w:sz w:val="32"/>
          <w:szCs w:val="32"/>
          <w:highlight w:val="none"/>
          <w:lang w:val="en-US" w:eastAsia="zh-CN"/>
        </w:rPr>
        <w:t>。</w:t>
      </w:r>
    </w:p>
    <w:p w14:paraId="2DF80277">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lang w:val="en-US" w:eastAsia="zh-CN"/>
        </w:rPr>
        <w:t>申报人员须提交获奖证书或竞赛结果通报文件、主办单位竞赛举办通知、技术工作文件、竞赛结果通报文</w:t>
      </w:r>
      <w:r>
        <w:rPr>
          <w:rFonts w:hint="default" w:ascii="Times New Roman" w:hAnsi="Times New Roman" w:eastAsia="仿宋_GB2312" w:cs="Times New Roman"/>
          <w:spacing w:val="0"/>
          <w:sz w:val="32"/>
          <w:szCs w:val="32"/>
          <w:highlight w:val="none"/>
          <w:lang w:val="en-US" w:eastAsia="zh-CN"/>
        </w:rPr>
        <w:t>件，以及其他相关原始佐证资料。</w:t>
      </w:r>
    </w:p>
    <w:p w14:paraId="7DDD8B28">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（七）中医药临床案例</w:t>
      </w:r>
      <w:r>
        <w:rPr>
          <w:rFonts w:hint="eastAsia" w:ascii="Times New Roman" w:hAnsi="Times New Roman" w:eastAsia="仿宋_GB2312" w:cs="Times New Roman"/>
          <w:spacing w:val="0"/>
          <w:sz w:val="32"/>
          <w:szCs w:val="32"/>
          <w:highlight w:val="none"/>
          <w:lang w:val="en-US" w:eastAsia="zh-CN"/>
        </w:rPr>
        <w:t>。</w:t>
      </w:r>
    </w:p>
    <w:p w14:paraId="41D3B745">
      <w:pPr>
        <w:pStyle w:val="5"/>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为引导医师回归临床实践并推广优秀诊疗经验，中国科协委托中华中医药学会建设“中国中医药临床案例成果库”，成果库提供中医药临床案例报告免费发表和开放获取服务。申报人员作为主诊人，其优秀临床案例被该成果库正式收录，可作为一项业绩申报中医药高级职称评审。案例库采用在线投稿（网址：http://cccl-tcm.cacm.org.cn）、在线评审与网络发布模式。投稿经编辑部形式审查后，将进行编辑初审、专家外审及编委会终审，通过评审的案例将被收录并获颁电子收录证书。申报职称时，须提交被收录的临床案例稿件（1份）及对应的电子收录证书作为证明材料。</w:t>
      </w:r>
    </w:p>
    <w:p w14:paraId="7EAE7FC0">
      <w:pPr>
        <w:pStyle w:val="5"/>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lang w:val="en-US" w:eastAsia="zh-CN"/>
        </w:rPr>
        <w:t>评审答辩</w:t>
      </w:r>
    </w:p>
    <w:p w14:paraId="7792D34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pacing w:val="0"/>
          <w:kern w:val="2"/>
          <w:sz w:val="32"/>
          <w:szCs w:val="32"/>
          <w:highlight w:val="none"/>
          <w:lang w:val="en-US" w:eastAsia="zh-CN" w:bidi="ar-SA"/>
        </w:rPr>
      </w:pPr>
      <w:r>
        <w:rPr>
          <w:rFonts w:hint="default" w:ascii="Times New Roman" w:hAnsi="Times New Roman" w:eastAsia="仿宋_GB2312" w:cs="Times New Roman"/>
          <w:spacing w:val="0"/>
          <w:kern w:val="2"/>
          <w:sz w:val="32"/>
          <w:szCs w:val="32"/>
          <w:highlight w:val="none"/>
          <w:lang w:val="en-US" w:eastAsia="zh-CN" w:bidi="ar-SA"/>
        </w:rPr>
        <w:t>（一）专家评审要点。</w:t>
      </w:r>
    </w:p>
    <w:p w14:paraId="1F688A25">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pacing w:val="0"/>
          <w:kern w:val="2"/>
          <w:sz w:val="32"/>
          <w:szCs w:val="32"/>
          <w:highlight w:val="none"/>
          <w:lang w:val="en-US" w:eastAsia="zh-CN" w:bidi="ar-SA"/>
        </w:rPr>
      </w:pPr>
      <w:r>
        <w:rPr>
          <w:rFonts w:hint="default" w:ascii="Times New Roman" w:hAnsi="Times New Roman" w:eastAsia="仿宋_GB2312" w:cs="Times New Roman"/>
          <w:spacing w:val="0"/>
          <w:kern w:val="2"/>
          <w:sz w:val="32"/>
          <w:szCs w:val="32"/>
          <w:highlight w:val="none"/>
          <w:lang w:val="en-US" w:eastAsia="zh-CN" w:bidi="ar-SA"/>
        </w:rPr>
        <w:t>评审专家根据申报人员提供的申报材料及现场答辩情况进行</w:t>
      </w:r>
      <w:r>
        <w:rPr>
          <w:rFonts w:hint="eastAsia" w:ascii="Times New Roman" w:hAnsi="Times New Roman" w:eastAsia="仿宋_GB2312" w:cs="Times New Roman"/>
          <w:spacing w:val="0"/>
          <w:kern w:val="2"/>
          <w:sz w:val="32"/>
          <w:szCs w:val="32"/>
          <w:highlight w:val="none"/>
          <w:lang w:val="en-US" w:eastAsia="zh-CN" w:bidi="ar-SA"/>
        </w:rPr>
        <w:t>综合</w:t>
      </w:r>
      <w:r>
        <w:rPr>
          <w:rFonts w:hint="default" w:ascii="Times New Roman" w:hAnsi="Times New Roman" w:eastAsia="仿宋_GB2312" w:cs="Times New Roman"/>
          <w:spacing w:val="0"/>
          <w:kern w:val="2"/>
          <w:sz w:val="32"/>
          <w:szCs w:val="32"/>
          <w:highlight w:val="none"/>
          <w:lang w:val="en-US" w:eastAsia="zh-CN" w:bidi="ar-SA"/>
        </w:rPr>
        <w:t>评价，省中医药高级职称注重考察申报人员运用中医药思维解决临床疑难、复杂病症的能力。基层中医药高级职称注重考察申报人员的运用中医药思维防治基层常见病、多发病的实践能力与实际成效。</w:t>
      </w:r>
    </w:p>
    <w:p w14:paraId="402FEAA1">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kern w:val="2"/>
          <w:sz w:val="32"/>
          <w:szCs w:val="32"/>
          <w:highlight w:val="none"/>
          <w:lang w:val="en-US" w:eastAsia="zh-CN" w:bidi="ar-SA"/>
        </w:rPr>
      </w:pPr>
      <w:r>
        <w:rPr>
          <w:rFonts w:hint="default" w:ascii="Times New Roman" w:hAnsi="Times New Roman" w:eastAsia="仿宋_GB2312" w:cs="Times New Roman"/>
          <w:spacing w:val="0"/>
          <w:kern w:val="2"/>
          <w:sz w:val="32"/>
          <w:szCs w:val="32"/>
          <w:highlight w:val="none"/>
          <w:lang w:val="en-US" w:eastAsia="zh-CN" w:bidi="ar-SA"/>
        </w:rPr>
        <w:t>（二）答辩。</w:t>
      </w:r>
    </w:p>
    <w:p w14:paraId="3FFD636C">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kern w:val="2"/>
          <w:sz w:val="32"/>
          <w:szCs w:val="32"/>
          <w:highlight w:val="none"/>
          <w:lang w:val="en-US" w:eastAsia="zh-CN" w:bidi="ar-SA"/>
        </w:rPr>
      </w:pPr>
      <w:r>
        <w:rPr>
          <w:rFonts w:hint="default" w:ascii="Times New Roman" w:hAnsi="Times New Roman" w:eastAsia="仿宋_GB2312" w:cs="Times New Roman"/>
          <w:spacing w:val="0"/>
          <w:kern w:val="2"/>
          <w:sz w:val="32"/>
          <w:szCs w:val="32"/>
          <w:highlight w:val="none"/>
          <w:lang w:val="en-US" w:eastAsia="zh-CN" w:bidi="ar-SA"/>
        </w:rPr>
        <w:t>从2026年开始，中医药高级职称评审实行全员答辩，除享受免答辩政策人员外（须提供相关证明材料），其余所有申报人员均须参与答辩。因组织派遣援外等紧急工作不能按时到场的，由单位出具证明并经主管部门审核后可免答辩。</w:t>
      </w:r>
    </w:p>
    <w:p w14:paraId="6DCBAE33">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kern w:val="2"/>
          <w:sz w:val="32"/>
          <w:szCs w:val="32"/>
          <w:highlight w:val="none"/>
          <w:lang w:val="en-US" w:eastAsia="zh-CN" w:bidi="ar-SA"/>
        </w:rPr>
      </w:pPr>
      <w:r>
        <w:rPr>
          <w:rFonts w:hint="default" w:ascii="Times New Roman" w:hAnsi="Times New Roman" w:eastAsia="仿宋_GB2312" w:cs="Times New Roman"/>
          <w:b w:val="0"/>
          <w:bCs w:val="0"/>
          <w:snapToGrid w:val="0"/>
          <w:sz w:val="32"/>
          <w:szCs w:val="32"/>
          <w:lang w:bidi="ar"/>
        </w:rPr>
        <w:t>答辩题目由中医药理论素养题和中医药临床思维题两部分组成，中医药临床思维题由病案分析题和专家自拟题组成。</w:t>
      </w:r>
      <w:r>
        <w:rPr>
          <w:rFonts w:hint="eastAsia" w:ascii="Times New Roman" w:hAnsi="Times New Roman" w:eastAsia="仿宋_GB2312" w:cs="Times New Roman"/>
          <w:b w:val="0"/>
          <w:bCs w:val="0"/>
          <w:snapToGrid w:val="0"/>
          <w:sz w:val="32"/>
          <w:szCs w:val="32"/>
          <w:lang w:eastAsia="zh-CN" w:bidi="ar"/>
        </w:rPr>
        <w:t>医师考核范围为中医经典和本专业知识等，药师考核范围为中药和方剂等，护师考核范围为护理技术和中医适宜技术等，技师考核范围为中医康复技术、推拿技术和中医适宜技术等。</w:t>
      </w:r>
    </w:p>
    <w:p w14:paraId="445BDB6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napToGrid w:val="0"/>
          <w:sz w:val="32"/>
          <w:szCs w:val="32"/>
          <w:lang w:eastAsia="zh-CN" w:bidi="ar"/>
        </w:rPr>
      </w:pPr>
      <w:r>
        <w:rPr>
          <w:rFonts w:hint="eastAsia" w:ascii="Times New Roman" w:hAnsi="Times New Roman" w:eastAsia="仿宋_GB2312" w:cs="Times New Roman"/>
          <w:b w:val="0"/>
          <w:bCs w:val="0"/>
          <w:snapToGrid w:val="0"/>
          <w:sz w:val="32"/>
          <w:szCs w:val="32"/>
          <w:lang w:val="en-US" w:eastAsia="zh-CN" w:bidi="ar"/>
        </w:rPr>
        <w:t>各地各单位要高度重视中医药高级职称申报工作，切实加强组织领导，层层压实审查责任，坚决杜绝学术不端和虚假申报行为，确保申报材料真实准确。要迅速传达并严格落实本文件要求，充分发挥职称评审的评价引导作用，以评促学、以评促用，着力提升中医药人才的中医经典理论水平与临床指导能力。</w:t>
      </w:r>
    </w:p>
    <w:p w14:paraId="246FB34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pPr>
      <w:r>
        <w:rPr>
          <w:rFonts w:hint="default" w:ascii="Times New Roman" w:hAnsi="Times New Roman" w:eastAsia="仿宋_GB2312" w:cs="Times New Roman"/>
          <w:spacing w:val="0"/>
          <w:kern w:val="2"/>
          <w:sz w:val="32"/>
          <w:szCs w:val="32"/>
          <w:highlight w:val="none"/>
          <w:lang w:val="en-US" w:eastAsia="zh-CN" w:bidi="ar-SA"/>
        </w:rPr>
        <w:t>本通知自发布之日起施行。此前发布的有关中医药高级职称申报评审的规定，凡与本通知不一致的，以本通知为准。本通知未明确的，按相关规定执行。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89E01C9-8FD6-4104-B255-81B4E74F6F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29D587A8-3727-4D1D-BE66-8224AB53B992}"/>
  </w:font>
  <w:font w:name="方正仿宋_GB18030">
    <w:altName w:val="方正仿宋_GBK"/>
    <w:panose1 w:val="02000000000000000000"/>
    <w:charset w:val="86"/>
    <w:family w:val="auto"/>
    <w:pitch w:val="default"/>
    <w:sig w:usb0="00000000" w:usb1="00000000" w:usb2="00000000" w:usb3="00000000" w:csb0="00040000" w:csb1="00000000"/>
    <w:embedRegular r:id="rId3" w:fontKey="{046D0C4D-8AB7-41B1-BB19-CE010CF51F7F}"/>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E6DEE"/>
    <w:multiLevelType w:val="singleLevel"/>
    <w:tmpl w:val="322E6DE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E6E01"/>
    <w:rsid w:val="03A668BE"/>
    <w:rsid w:val="05E80ABB"/>
    <w:rsid w:val="083B4C60"/>
    <w:rsid w:val="0C5144C7"/>
    <w:rsid w:val="0DF31211"/>
    <w:rsid w:val="12403F0B"/>
    <w:rsid w:val="13773044"/>
    <w:rsid w:val="15F07E3E"/>
    <w:rsid w:val="17A31919"/>
    <w:rsid w:val="1D1239BE"/>
    <w:rsid w:val="1DFEB003"/>
    <w:rsid w:val="1E116C95"/>
    <w:rsid w:val="1FCC32D7"/>
    <w:rsid w:val="20BE6E01"/>
    <w:rsid w:val="24E84DAB"/>
    <w:rsid w:val="299C74B2"/>
    <w:rsid w:val="2B5A46E9"/>
    <w:rsid w:val="2C0729D3"/>
    <w:rsid w:val="2D0C40A1"/>
    <w:rsid w:val="2D7E7BBA"/>
    <w:rsid w:val="2DBD6BDB"/>
    <w:rsid w:val="343D710F"/>
    <w:rsid w:val="369B3D1F"/>
    <w:rsid w:val="37342D58"/>
    <w:rsid w:val="3EC6222E"/>
    <w:rsid w:val="433534F5"/>
    <w:rsid w:val="43D663AB"/>
    <w:rsid w:val="486107F6"/>
    <w:rsid w:val="500B09BB"/>
    <w:rsid w:val="52927F84"/>
    <w:rsid w:val="57D55DCB"/>
    <w:rsid w:val="59642939"/>
    <w:rsid w:val="5B2F243F"/>
    <w:rsid w:val="5D5C0005"/>
    <w:rsid w:val="5FBF2A31"/>
    <w:rsid w:val="604204E2"/>
    <w:rsid w:val="61E23E4E"/>
    <w:rsid w:val="66CB2AEA"/>
    <w:rsid w:val="67410ADD"/>
    <w:rsid w:val="6C7106D7"/>
    <w:rsid w:val="6EEB2664"/>
    <w:rsid w:val="6F7F62F7"/>
    <w:rsid w:val="703D5E07"/>
    <w:rsid w:val="73F0360B"/>
    <w:rsid w:val="7597228B"/>
    <w:rsid w:val="7675880A"/>
    <w:rsid w:val="76A60969"/>
    <w:rsid w:val="77BB0A60"/>
    <w:rsid w:val="77BFB3F1"/>
    <w:rsid w:val="78CB65E8"/>
    <w:rsid w:val="7B44365A"/>
    <w:rsid w:val="7BF82225"/>
    <w:rsid w:val="7BFF5AD2"/>
    <w:rsid w:val="7C837CDA"/>
    <w:rsid w:val="7EEE1EC3"/>
    <w:rsid w:val="7FA845F7"/>
    <w:rsid w:val="7FCFCCBC"/>
    <w:rsid w:val="BFC6B1C6"/>
    <w:rsid w:val="BFED3AB4"/>
    <w:rsid w:val="D3593234"/>
    <w:rsid w:val="DFB3FBA8"/>
    <w:rsid w:val="E6EB5EC2"/>
    <w:rsid w:val="EEBFF966"/>
    <w:rsid w:val="EFFBBDFF"/>
    <w:rsid w:val="F37B3538"/>
    <w:rsid w:val="FAAECECD"/>
    <w:rsid w:val="FB7F3F55"/>
    <w:rsid w:val="FBF76A28"/>
    <w:rsid w:val="FD5ED2F7"/>
    <w:rsid w:val="FD772B7F"/>
    <w:rsid w:val="FDEF7ACA"/>
    <w:rsid w:val="FF63E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val="0"/>
      <w:keepLines/>
      <w:spacing w:beforeLines="0" w:beforeAutospacing="0" w:afterLines="0" w:afterAutospacing="0" w:line="576" w:lineRule="exact"/>
      <w:outlineLvl w:val="2"/>
    </w:pPr>
    <w:rPr>
      <w:rFonts w:ascii="Calibri" w:hAnsi="Calibri" w:eastAsia="楷体" w:cs="Times New Roma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index 6"/>
    <w:basedOn w:val="1"/>
    <w:next w:val="1"/>
    <w:unhideWhenUsed/>
    <w:qFormat/>
    <w:uiPriority w:val="99"/>
    <w:pPr>
      <w:ind w:left="1000" w:leftChars="1000"/>
    </w:pPr>
    <w:rPr>
      <w:rFonts w:ascii="Times New Roman" w:hAnsi="Times New Roman" w:cs="Times New Roman"/>
    </w:rPr>
  </w:style>
  <w:style w:type="paragraph" w:styleId="5">
    <w:name w:val="Body Text"/>
    <w:basedOn w:val="1"/>
    <w:next w:val="3"/>
    <w:semiHidden/>
    <w:qFormat/>
    <w:uiPriority w:val="0"/>
    <w:rPr>
      <w:rFonts w:ascii="仿宋" w:hAnsi="仿宋" w:eastAsia="仿宋" w:cs="仿宋"/>
      <w:sz w:val="31"/>
      <w:szCs w:val="31"/>
      <w:lang w:val="en-US" w:eastAsia="en-US" w:bidi="ar-SA"/>
    </w:rPr>
  </w:style>
  <w:style w:type="paragraph" w:styleId="6">
    <w:name w:val="Body Text Indent"/>
    <w:basedOn w:val="1"/>
    <w:next w:val="1"/>
    <w:qFormat/>
    <w:uiPriority w:val="0"/>
    <w:pPr>
      <w:spacing w:after="120"/>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6"/>
    <w:next w:val="4"/>
    <w:unhideWhenUsed/>
    <w:qFormat/>
    <w:uiPriority w:val="99"/>
    <w:pPr>
      <w:ind w:firstLine="420" w:firstLineChars="200"/>
    </w:p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6472</Words>
  <Characters>6670</Characters>
  <Lines>0</Lines>
  <Paragraphs>0</Paragraphs>
  <TotalTime>26</TotalTime>
  <ScaleCrop>false</ScaleCrop>
  <LinksUpToDate>false</LinksUpToDate>
  <CharactersWithSpaces>6673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2025-09-06T12:37:00Z</dcterms:created>
  <dc:creator>Eron岑</dc:creator>
  <cp:lastModifiedBy>沈诗晨</cp:lastModifiedBy>
  <cp:lastPrinted>2026-02-05T15:23:00Z</cp:lastPrinted>
  <dcterms:modified xsi:type="dcterms:W3CDTF">2026-02-05T09:28:33Z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7CC5BCE4D0A44433B300D48A88184FBC_13</vt:lpwstr>
  </property>
  <property fmtid="{D5CDD505-2E9C-101B-9397-08002B2CF9AE}" pid="4" name="KSOTemplateDocerSaveRecord">
    <vt:lpwstr>eyJoZGlkIjoiOTcxYmI0YjU5OWJmOTU2YTlmNzI1NDkwOTNlNTQ3ZDIiLCJ1c2VySWQiOiIxNjIzNjg1NjQxIn0=</vt:lpwstr>
  </property>
</Properties>
</file>