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40" w:lineRule="exact"/>
        <w:jc w:val="center"/>
        <w:rPr>
          <w:rFonts w:ascii="小标宋" w:hAnsi="小标宋" w:eastAsia="小标宋" w:cs="小标宋"/>
          <w:spacing w:val="-2"/>
          <w:sz w:val="44"/>
          <w:szCs w:val="44"/>
        </w:rPr>
      </w:pPr>
      <w:r>
        <w:rPr>
          <w:rFonts w:hint="eastAsia" w:ascii="小标宋" w:hAnsi="小标宋" w:eastAsia="小标宋" w:cs="小标宋"/>
          <w:spacing w:val="-2"/>
          <w:sz w:val="44"/>
          <w:szCs w:val="44"/>
        </w:rPr>
        <w:t>附  录</w:t>
      </w:r>
    </w:p>
    <w:p>
      <w:pPr>
        <w:overflowPunct w:val="0"/>
        <w:spacing w:line="540" w:lineRule="exact"/>
        <w:jc w:val="center"/>
        <w:rPr>
          <w:rFonts w:ascii="小标宋" w:hAnsi="小标宋" w:eastAsia="小标宋" w:cs="小标宋"/>
          <w:spacing w:val="-2"/>
          <w:sz w:val="44"/>
          <w:szCs w:val="44"/>
        </w:rPr>
      </w:pPr>
    </w:p>
    <w:p>
      <w:pPr>
        <w:overflowPunct w:val="0"/>
        <w:spacing w:line="540" w:lineRule="exact"/>
        <w:ind w:firstLine="632" w:firstLineChars="200"/>
        <w:rPr>
          <w:rFonts w:ascii="黑体" w:hAnsi="黑体" w:eastAsia="黑体"/>
          <w:spacing w:val="-2"/>
          <w:sz w:val="32"/>
          <w:szCs w:val="32"/>
        </w:rPr>
      </w:pPr>
      <w:r>
        <w:rPr>
          <w:rFonts w:hint="eastAsia" w:ascii="黑体" w:hAnsi="黑体" w:eastAsia="黑体"/>
          <w:spacing w:val="-2"/>
          <w:sz w:val="32"/>
          <w:szCs w:val="32"/>
        </w:rPr>
        <w:t>一、有关词（语）或概念的特定解释</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（一）科技进步奖（及相应奖项)：指政府颁发的科技进步奖、成果奖、自然科学奖、国家发明奖等奖励项目。</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（二）表彰：指党委、政府授予的先进个人、劳动模范，或政府人事部门参与的系统先进工作者综合表彰等。</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（三）省（部)级：指国家各部委和省级政府。</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（四）市（厅)级：指省辖市和省级业务主管厅（局)。</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（五）基层医疗卫生机构：指县级及以下医疗卫生机构（不含三级医疗卫生机构和成都市所辖区的区级医疗卫生机构）。</w:t>
      </w:r>
    </w:p>
    <w:p>
      <w:pPr>
        <w:overflowPunct w:val="0"/>
        <w:spacing w:line="540" w:lineRule="exact"/>
        <w:ind w:firstLine="632" w:firstLineChars="200"/>
        <w:rPr>
          <w:rFonts w:ascii="黑体" w:hAnsi="黑体" w:eastAsia="黑体"/>
          <w:spacing w:val="-2"/>
          <w:sz w:val="32"/>
          <w:szCs w:val="32"/>
        </w:rPr>
      </w:pPr>
      <w:r>
        <w:rPr>
          <w:rFonts w:hint="eastAsia" w:ascii="黑体" w:hAnsi="黑体" w:eastAsia="黑体"/>
          <w:spacing w:val="-2"/>
          <w:sz w:val="32"/>
          <w:szCs w:val="32"/>
        </w:rPr>
        <w:t>二、本条件若干问题的说明</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（一）学历（学位)。应具备国家教育和中医药行政主管部门认可的学历，各种培训班颁发的结业证书或专业证书不得作为申报专业技术资格的学历依据。</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（二）任职资历计算方法。从现专业技术职务聘任之日起计算至申报当年年底。</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（三）基层中医药副高级职称可直接申报基层中医药正高级职称，但不可直接申报中医药正高级职称。</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（四）本条件中所涉及的奖项、表彰、荣誉、称号等，均以个人奖励证书或文件为准。</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（五）本条件所提“市”指设区市，不含县级市。</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（六）学术论文。</w:t>
      </w:r>
    </w:p>
    <w:p>
      <w:pPr>
        <w:overflowPunct w:val="0"/>
        <w:spacing w:line="54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有效期刊是指能在中华人民共和国国家新闻出版广电总局网站（http://www.gapp.gov.cn/）查询到、公开发行，且专业性和学术性较强的期刊。</w:t>
      </w:r>
    </w:p>
    <w:p>
      <w:pPr>
        <w:overflowPunct w:val="0"/>
        <w:spacing w:line="54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有效论文是指作为第一作者发表在有效期刊上，且正文字数不少于1500字的论文。文章清样、刊用通知、增刊不能认定为有效论文。</w:t>
      </w:r>
    </w:p>
    <w:p>
      <w:pPr>
        <w:overflowPunct w:val="0"/>
        <w:spacing w:line="54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本人主编或副主编公开出版本专业专著、教材1部著作代表2篇论文；其本人参加出版本专业专著、教材（本人撰写2万字以上）1部著作代表1篇论文。</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（七）科普文章。</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科普文章是把已有的科学知识、科学方法，以及融于其中的科学思想和精神，通过文字的方式表达出来，而使之为读者所能理解的文章。</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普文章须具备以下特点：（1）科学性。选题科学，论据确凿，论证合理，文字简洁准确。（2）创新性。选题要有创新性，要写别人没有写过的东西，并对今天的实际生活具有指导和借鉴作用。（3）实践性。选题必须是在科学探索活动中发现的，论据必须有实践依据，不能凭空捏造、猜测。（4）普及性。选题要有普及性，是广大人民群众所关心和希望了解的一些问题。</w:t>
      </w:r>
    </w:p>
    <w:p>
      <w:pPr>
        <w:overflowPunct w:val="0"/>
        <w:spacing w:line="540" w:lineRule="exact"/>
        <w:ind w:firstLine="632" w:firstLineChars="200"/>
        <w:rPr>
          <w:rFonts w:ascii="楷体" w:hAnsi="楷体" w:eastAsia="楷体" w:cs="楷体"/>
          <w:spacing w:val="-2"/>
          <w:sz w:val="32"/>
          <w:szCs w:val="32"/>
        </w:rPr>
      </w:pPr>
      <w:r>
        <w:rPr>
          <w:rFonts w:hint="eastAsia" w:ascii="楷体" w:hAnsi="楷体" w:eastAsia="楷体" w:cs="楷体"/>
          <w:spacing w:val="-2"/>
          <w:sz w:val="32"/>
          <w:szCs w:val="32"/>
        </w:rPr>
        <w:t>（八）专题报告。</w:t>
      </w:r>
    </w:p>
    <w:p>
      <w:pPr>
        <w:overflowPunct w:val="0"/>
        <w:spacing w:line="54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（1）医师。运用中医药理论指导解决本专业复杂疑难问题或常见病、多发病的经验总结。</w:t>
      </w:r>
    </w:p>
    <w:p>
      <w:pPr>
        <w:pStyle w:val="2"/>
        <w:tabs>
          <w:tab w:val="left" w:pos="1418"/>
        </w:tabs>
        <w:wordWrap w:val="0"/>
        <w:adjustRightInd w:val="0"/>
        <w:snapToGrid w:val="0"/>
        <w:spacing w:line="580" w:lineRule="exact"/>
        <w:ind w:firstLine="632" w:firstLineChars="200"/>
        <w:rPr>
          <w:rFonts w:ascii="仿宋_GB2312" w:eastAsia="仿宋_GB2312"/>
          <w:bCs/>
          <w:snapToGrid w:val="0"/>
          <w:kern w:val="0"/>
          <w:sz w:val="32"/>
          <w:szCs w:val="32"/>
        </w:rPr>
      </w:pPr>
      <w:r>
        <w:rPr>
          <w:rFonts w:hint="eastAsia" w:ascii="仿宋_GB2312" w:hAnsi="仿宋_GB2312" w:eastAsia="仿宋_GB2312" w:cs="仿宋_GB2312"/>
          <w:spacing w:val="-2"/>
          <w:sz w:val="32"/>
          <w:szCs w:val="32"/>
        </w:rPr>
        <w:t>（2）药师。就提高中医药临床疗效、减少不良反应，确保临床用药安全、有效、合理</w:t>
      </w:r>
      <w:r>
        <w:rPr>
          <w:rFonts w:hint="eastAsia" w:ascii="仿宋_GB2312" w:eastAsia="仿宋_GB2312"/>
          <w:bCs/>
          <w:snapToGrid w:val="0"/>
          <w:kern w:val="0"/>
          <w:sz w:val="32"/>
          <w:szCs w:val="32"/>
        </w:rPr>
        <w:t>等方面开展的监测、调查和分析。</w:t>
      </w:r>
    </w:p>
    <w:p>
      <w:pPr>
        <w:overflowPunct w:val="0"/>
        <w:spacing w:line="54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（3）护师。运用中医药理论指导的护理能力和技术水平，以及对疑难病或常见病、多发病实施护理的经验总结。</w:t>
      </w:r>
    </w:p>
    <w:p>
      <w:pPr>
        <w:pStyle w:val="2"/>
        <w:tabs>
          <w:tab w:val="left" w:pos="1418"/>
        </w:tabs>
        <w:wordWrap w:val="0"/>
        <w:adjustRightInd w:val="0"/>
        <w:snapToGrid w:val="0"/>
        <w:spacing w:line="580" w:lineRule="exact"/>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（4）技师。使用、推广或创新本专业某项技术、方法等的分析报告。</w:t>
      </w:r>
    </w:p>
    <w:p>
      <w:pPr>
        <w:pStyle w:val="2"/>
        <w:tabs>
          <w:tab w:val="left" w:pos="1418"/>
        </w:tabs>
        <w:wordWrap w:val="0"/>
        <w:adjustRightInd w:val="0"/>
        <w:snapToGrid w:val="0"/>
        <w:spacing w:line="580" w:lineRule="exact"/>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（5）中医药管理专业。主持或参与开展某项中医药管理案例或项目的分析报告。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33512"/>
    <w:rsid w:val="73A33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2020-09-17T02:23:00Z</dcterms:created>
  <dc:creator>尧欣欣欣欣雨</dc:creator>
  <cp:lastModifiedBy>尧欣欣欣欣雨</cp:lastModifiedBy>
  <dcterms:modified xsi:type="dcterms:W3CDTF">2020-09-17T02:23:51Z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