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spacing w:line="360" w:lineRule="auto"/>
        <w:rPr>
          <w:rFonts w:ascii="黑体" w:hAnsi="黑体" w:eastAsia="黑体"/>
          <w:sz w:val="28"/>
          <w:szCs w:val="28"/>
        </w:rPr>
      </w:pPr>
      <w:r>
        <w:rPr>
          <w:rFonts w:hint="eastAsia" w:ascii="黑体" w:hAnsi="黑体" w:eastAsia="黑体"/>
          <w:sz w:val="28"/>
          <w:szCs w:val="28"/>
        </w:rPr>
        <w:t>比选办法</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根据《四川省中医管理局机关内部控制手册》（试行）及部门文件，结合四川省中医药管理局实际情况制定本办法。</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本办法是择优确定中选供应商的依据，在评选过程中应充分体现公平、公正、合理的原则。</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采用“综合评分法”的评选方法。评选采用百分制，各评委独立分别对实质上响应比选文件的相关文件资料资质进行逐项打分，各项得分汇总</w:t>
      </w:r>
      <w:bookmarkStart w:id="0" w:name="_GoBack"/>
      <w:bookmarkEnd w:id="0"/>
      <w:r>
        <w:rPr>
          <w:rFonts w:hint="eastAsia" w:ascii="宋体" w:hAnsi="宋体" w:eastAsia="宋体"/>
          <w:sz w:val="24"/>
          <w:szCs w:val="24"/>
        </w:rPr>
        <w:t>后取平均分，该平均分为供应商的得分。</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初步评审</w:t>
      </w:r>
    </w:p>
    <w:p>
      <w:pPr>
        <w:spacing w:line="360" w:lineRule="auto"/>
        <w:ind w:firstLine="480" w:firstLineChars="200"/>
        <w:rPr>
          <w:rFonts w:ascii="宋体" w:hAnsi="宋体" w:eastAsia="宋体"/>
          <w:sz w:val="24"/>
          <w:szCs w:val="24"/>
        </w:rPr>
      </w:pPr>
      <w:r>
        <w:rPr>
          <w:rFonts w:ascii="宋体" w:hAnsi="宋体" w:eastAsia="宋体"/>
          <w:sz w:val="24"/>
          <w:szCs w:val="24"/>
        </w:rPr>
        <w:t>4.1</w:t>
      </w:r>
      <w:r>
        <w:rPr>
          <w:rFonts w:hint="eastAsia" w:ascii="宋体" w:hAnsi="宋体" w:eastAsia="宋体"/>
          <w:sz w:val="24"/>
          <w:szCs w:val="24"/>
        </w:rPr>
        <w:t>根据参选供应商提交比选文件，其工商营业执照或事业单位法人证书须有效；</w:t>
      </w:r>
      <w:r>
        <w:rPr>
          <w:rFonts w:ascii="宋体" w:hAnsi="宋体" w:eastAsia="宋体"/>
          <w:sz w:val="24"/>
          <w:szCs w:val="24"/>
        </w:rPr>
        <w:t xml:space="preserve"> </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2本次比选不接受联合体参选。</w:t>
      </w:r>
    </w:p>
    <w:p>
      <w:pPr>
        <w:spacing w:line="360" w:lineRule="auto"/>
        <w:ind w:firstLine="480" w:firstLineChars="200"/>
        <w:rPr>
          <w:rFonts w:ascii="宋体" w:hAnsi="宋体" w:eastAsia="宋体"/>
          <w:sz w:val="24"/>
          <w:szCs w:val="24"/>
        </w:rPr>
      </w:pPr>
      <w:r>
        <w:rPr>
          <w:rFonts w:ascii="宋体" w:hAnsi="宋体" w:eastAsia="宋体"/>
          <w:sz w:val="24"/>
          <w:szCs w:val="24"/>
        </w:rPr>
        <w:t xml:space="preserve">4.3 </w:t>
      </w:r>
      <w:r>
        <w:rPr>
          <w:rFonts w:hint="eastAsia" w:ascii="宋体" w:hAnsi="宋体" w:eastAsia="宋体"/>
          <w:sz w:val="24"/>
          <w:szCs w:val="24"/>
        </w:rPr>
        <w:t>比选人有以下情形之一的，其比选作废选处理：</w:t>
      </w:r>
    </w:p>
    <w:p>
      <w:pPr>
        <w:spacing w:line="360" w:lineRule="auto"/>
        <w:ind w:firstLine="480" w:firstLineChars="200"/>
        <w:rPr>
          <w:rFonts w:ascii="宋体" w:hAnsi="宋体" w:eastAsia="宋体"/>
          <w:sz w:val="24"/>
          <w:szCs w:val="24"/>
        </w:rPr>
      </w:pPr>
      <w:r>
        <w:rPr>
          <w:rFonts w:ascii="宋体" w:hAnsi="宋体" w:eastAsia="宋体"/>
          <w:sz w:val="24"/>
          <w:szCs w:val="24"/>
        </w:rPr>
        <w:t>(1)</w:t>
      </w:r>
      <w:r>
        <w:rPr>
          <w:rFonts w:hint="eastAsia" w:ascii="宋体" w:hAnsi="宋体" w:eastAsia="宋体"/>
          <w:sz w:val="24"/>
          <w:szCs w:val="24"/>
        </w:rPr>
        <w:t>被责令停业的；</w:t>
      </w:r>
    </w:p>
    <w:p>
      <w:pPr>
        <w:spacing w:line="360" w:lineRule="auto"/>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被暂停或取消比选资格的；</w:t>
      </w:r>
    </w:p>
    <w:p>
      <w:pPr>
        <w:spacing w:line="360" w:lineRule="auto"/>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财产被接管或冻结的；</w:t>
      </w:r>
    </w:p>
    <w:p>
      <w:pPr>
        <w:spacing w:line="360" w:lineRule="auto"/>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在最近三年内有骗取中选或严重违约或重大质量问题的；</w:t>
      </w:r>
    </w:p>
    <w:p>
      <w:pPr>
        <w:spacing w:line="360" w:lineRule="auto"/>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串通比选或弄虚作假等违法行为的；</w:t>
      </w:r>
    </w:p>
    <w:p>
      <w:pPr>
        <w:spacing w:line="360" w:lineRule="auto"/>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不按评选委员会要求澄清、说明或补正的。</w:t>
      </w:r>
    </w:p>
    <w:p>
      <w:pPr>
        <w:numPr>
          <w:ilvl w:val="0"/>
          <w:numId w:val="1"/>
        </w:numPr>
        <w:spacing w:line="360" w:lineRule="auto"/>
        <w:rPr>
          <w:rFonts w:ascii="黑体" w:hAnsi="黑体" w:eastAsia="黑体"/>
          <w:sz w:val="28"/>
          <w:szCs w:val="28"/>
        </w:rPr>
      </w:pPr>
      <w:r>
        <w:rPr>
          <w:rFonts w:hint="eastAsia" w:ascii="黑体" w:hAnsi="黑体" w:eastAsia="黑体"/>
          <w:sz w:val="28"/>
          <w:szCs w:val="28"/>
        </w:rPr>
        <w:t>评分明细</w:t>
      </w:r>
    </w:p>
    <w:tbl>
      <w:tblPr>
        <w:tblStyle w:val="5"/>
        <w:tblW w:w="8323"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5"/>
        <w:gridCol w:w="1176"/>
        <w:gridCol w:w="1000"/>
        <w:gridCol w:w="5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62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序号</w:t>
            </w:r>
          </w:p>
        </w:tc>
        <w:tc>
          <w:tcPr>
            <w:tcW w:w="1176"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评分因素及权重</w:t>
            </w:r>
          </w:p>
        </w:tc>
        <w:tc>
          <w:tcPr>
            <w:tcW w:w="1000"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分值</w:t>
            </w:r>
          </w:p>
        </w:tc>
        <w:tc>
          <w:tcPr>
            <w:tcW w:w="5522"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62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p>
        </w:tc>
        <w:tc>
          <w:tcPr>
            <w:tcW w:w="1176"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报价</w:t>
            </w:r>
            <w:r>
              <w:rPr>
                <w:rFonts w:hint="eastAsia" w:ascii="宋体" w:hAnsi="宋体" w:eastAsia="宋体" w:cs="宋体"/>
                <w:sz w:val="24"/>
                <w:szCs w:val="24"/>
                <w:lang w:val="en-US" w:eastAsia="zh-CN"/>
              </w:rPr>
              <w:t>4</w:t>
            </w:r>
            <w:r>
              <w:rPr>
                <w:rFonts w:hint="eastAsia" w:ascii="宋体" w:hAnsi="宋体" w:eastAsia="宋体" w:cs="宋体"/>
                <w:sz w:val="24"/>
                <w:szCs w:val="24"/>
              </w:rPr>
              <w:t>0%</w:t>
            </w:r>
          </w:p>
        </w:tc>
        <w:tc>
          <w:tcPr>
            <w:tcW w:w="1000"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lang w:val="en-US" w:eastAsia="zh-CN"/>
              </w:rPr>
              <w:t>4</w:t>
            </w:r>
            <w:r>
              <w:rPr>
                <w:rFonts w:hint="eastAsia" w:ascii="宋体" w:hAnsi="宋体" w:eastAsia="宋体" w:cs="宋体"/>
                <w:sz w:val="24"/>
                <w:szCs w:val="24"/>
              </w:rPr>
              <w:t>0分</w:t>
            </w:r>
          </w:p>
        </w:tc>
        <w:tc>
          <w:tcPr>
            <w:tcW w:w="5522" w:type="dxa"/>
          </w:tcPr>
          <w:p>
            <w:pPr>
              <w:spacing w:line="360" w:lineRule="auto"/>
              <w:rPr>
                <w:rFonts w:ascii="宋体" w:hAnsi="宋体" w:eastAsia="宋体" w:cs="宋体"/>
                <w:sz w:val="24"/>
                <w:szCs w:val="24"/>
              </w:rPr>
            </w:pPr>
            <w:r>
              <w:rPr>
                <w:rFonts w:hint="eastAsia" w:ascii="宋体" w:hAnsi="宋体" w:eastAsia="宋体" w:cs="宋体"/>
                <w:sz w:val="24"/>
                <w:szCs w:val="24"/>
              </w:rPr>
              <w:t>满足比选文件要求且响应价格最低的响应报价为基准价，其价格分为满分。其他供应商的价格分统一按照下列公式计算：报价得分=(比选基准价/比选报价)*30%*100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625"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2</w:t>
            </w:r>
          </w:p>
        </w:tc>
        <w:tc>
          <w:tcPr>
            <w:tcW w:w="1176"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技术</w:t>
            </w:r>
            <w:r>
              <w:rPr>
                <w:rFonts w:hint="eastAsia" w:ascii="宋体" w:hAnsi="宋体" w:eastAsia="宋体" w:cs="宋体"/>
                <w:sz w:val="24"/>
                <w:szCs w:val="24"/>
                <w:lang w:val="en-US" w:eastAsia="zh-CN"/>
              </w:rPr>
              <w:t>及</w:t>
            </w:r>
            <w:r>
              <w:rPr>
                <w:rFonts w:hint="eastAsia" w:ascii="宋体" w:hAnsi="宋体" w:eastAsia="宋体" w:cs="宋体"/>
                <w:sz w:val="24"/>
                <w:szCs w:val="24"/>
              </w:rPr>
              <w:t>售后服务要求</w:t>
            </w:r>
            <w:r>
              <w:rPr>
                <w:rFonts w:hint="eastAsia" w:ascii="宋体" w:hAnsi="宋体" w:eastAsia="宋体" w:cs="宋体"/>
                <w:sz w:val="24"/>
                <w:szCs w:val="24"/>
                <w:lang w:val="en-US" w:eastAsia="zh-CN"/>
              </w:rPr>
              <w:t>40</w:t>
            </w:r>
            <w:r>
              <w:rPr>
                <w:rFonts w:hint="eastAsia" w:ascii="宋体" w:hAnsi="宋体" w:eastAsia="宋体" w:cs="宋体"/>
                <w:sz w:val="24"/>
                <w:szCs w:val="24"/>
              </w:rPr>
              <w:t>%</w:t>
            </w:r>
          </w:p>
        </w:tc>
        <w:tc>
          <w:tcPr>
            <w:tcW w:w="1000"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lang w:val="en-US" w:eastAsia="zh-CN"/>
              </w:rPr>
              <w:t>40</w:t>
            </w:r>
            <w:r>
              <w:rPr>
                <w:rFonts w:hint="eastAsia" w:ascii="宋体" w:hAnsi="宋体" w:eastAsia="宋体" w:cs="宋体"/>
                <w:sz w:val="24"/>
                <w:szCs w:val="24"/>
              </w:rPr>
              <w:t>分</w:t>
            </w:r>
          </w:p>
        </w:tc>
        <w:tc>
          <w:tcPr>
            <w:tcW w:w="5522" w:type="dxa"/>
          </w:tcPr>
          <w:p>
            <w:pPr>
              <w:spacing w:line="360" w:lineRule="auto"/>
              <w:rPr>
                <w:rFonts w:ascii="宋体" w:hAnsi="宋体" w:eastAsia="宋体" w:cs="宋体"/>
                <w:sz w:val="24"/>
                <w:szCs w:val="24"/>
              </w:rPr>
            </w:pPr>
            <w:r>
              <w:rPr>
                <w:rFonts w:hint="eastAsia" w:ascii="宋体" w:hAnsi="宋体" w:eastAsia="宋体" w:cs="宋体"/>
                <w:sz w:val="24"/>
                <w:szCs w:val="24"/>
                <w:lang w:val="en-US" w:eastAsia="zh-CN"/>
              </w:rPr>
              <w:t>根据方案是否</w:t>
            </w:r>
            <w:r>
              <w:rPr>
                <w:rFonts w:hint="eastAsia" w:ascii="宋体" w:hAnsi="宋体" w:eastAsia="宋体" w:cs="宋体"/>
                <w:sz w:val="24"/>
                <w:szCs w:val="24"/>
              </w:rPr>
              <w:t>符合比选文件技术要求</w:t>
            </w:r>
            <w:r>
              <w:rPr>
                <w:rFonts w:hint="eastAsia" w:ascii="宋体" w:hAnsi="宋体" w:eastAsia="宋体" w:cs="宋体"/>
                <w:sz w:val="24"/>
                <w:szCs w:val="24"/>
                <w:lang w:val="en-US" w:eastAsia="zh-CN"/>
              </w:rPr>
              <w:t>和</w:t>
            </w:r>
            <w:r>
              <w:rPr>
                <w:rFonts w:hint="eastAsia" w:ascii="宋体" w:hAnsi="宋体" w:eastAsia="宋体" w:cs="宋体"/>
                <w:sz w:val="24"/>
                <w:szCs w:val="24"/>
              </w:rPr>
              <w:t>供应商服务能力</w:t>
            </w:r>
            <w:r>
              <w:rPr>
                <w:rFonts w:hint="eastAsia" w:ascii="宋体" w:hAnsi="宋体" w:eastAsia="宋体" w:cs="宋体"/>
                <w:sz w:val="24"/>
                <w:szCs w:val="24"/>
                <w:lang w:eastAsia="zh-CN"/>
              </w:rPr>
              <w:t>、</w:t>
            </w:r>
            <w:r>
              <w:rPr>
                <w:rFonts w:hint="eastAsia" w:ascii="宋体" w:hAnsi="宋体" w:eastAsia="宋体" w:cs="宋体"/>
                <w:sz w:val="24"/>
                <w:szCs w:val="24"/>
              </w:rPr>
              <w:t>售后服务方案承诺的内容评判</w:t>
            </w:r>
            <w:r>
              <w:rPr>
                <w:rFonts w:hint="eastAsia" w:ascii="宋体" w:hAnsi="宋体" w:eastAsia="宋体" w:cs="宋体"/>
                <w:sz w:val="24"/>
                <w:szCs w:val="24"/>
                <w:lang w:eastAsia="zh-CN"/>
              </w:rPr>
              <w:t>，</w:t>
            </w:r>
            <w:r>
              <w:rPr>
                <w:rFonts w:hint="eastAsia" w:ascii="宋体" w:hAnsi="宋体" w:eastAsia="宋体" w:cs="宋体"/>
                <w:sz w:val="24"/>
                <w:szCs w:val="24"/>
              </w:rPr>
              <w:t>负偏离每一项扣</w:t>
            </w:r>
            <w:r>
              <w:rPr>
                <w:rFonts w:ascii="宋体" w:hAnsi="宋体" w:eastAsia="宋体" w:cs="宋体"/>
                <w:sz w:val="24"/>
                <w:szCs w:val="24"/>
              </w:rPr>
              <w:t>5</w:t>
            </w:r>
            <w:r>
              <w:rPr>
                <w:rFonts w:hint="eastAsia" w:ascii="宋体" w:hAnsi="宋体" w:eastAsia="宋体" w:cs="宋体"/>
                <w:sz w:val="24"/>
                <w:szCs w:val="24"/>
              </w:rPr>
              <w:t>分，扣完为止</w:t>
            </w:r>
            <w:r>
              <w:rPr>
                <w:rFonts w:hint="eastAsia" w:ascii="宋体" w:hAnsi="宋体" w:eastAsia="宋体" w:cs="宋体"/>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625" w:type="dxa"/>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3</w:t>
            </w:r>
          </w:p>
        </w:tc>
        <w:tc>
          <w:tcPr>
            <w:tcW w:w="1176"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业绩</w:t>
            </w:r>
          </w:p>
          <w:p>
            <w:pPr>
              <w:spacing w:line="360" w:lineRule="auto"/>
              <w:jc w:val="center"/>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w:t>
            </w:r>
          </w:p>
        </w:tc>
        <w:tc>
          <w:tcPr>
            <w:tcW w:w="1000"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sz w:val="24"/>
                <w:szCs w:val="24"/>
                <w:lang w:val="en-US" w:eastAsia="zh-CN"/>
              </w:rPr>
              <w:t>0</w:t>
            </w:r>
            <w:r>
              <w:rPr>
                <w:rFonts w:hint="eastAsia" w:ascii="宋体" w:hAnsi="宋体" w:eastAsia="宋体" w:cs="宋体"/>
                <w:sz w:val="24"/>
                <w:szCs w:val="24"/>
              </w:rPr>
              <w:t>分</w:t>
            </w:r>
          </w:p>
        </w:tc>
        <w:tc>
          <w:tcPr>
            <w:tcW w:w="5522" w:type="dxa"/>
          </w:tcPr>
          <w:p>
            <w:pPr>
              <w:spacing w:line="360" w:lineRule="auto"/>
              <w:rPr>
                <w:rFonts w:ascii="宋体" w:hAnsi="宋体" w:eastAsia="宋体" w:cs="宋体"/>
                <w:sz w:val="24"/>
                <w:szCs w:val="24"/>
              </w:rPr>
            </w:pPr>
            <w:r>
              <w:rPr>
                <w:rFonts w:hint="eastAsia" w:ascii="宋体" w:hAnsi="宋体" w:eastAsia="宋体" w:cs="宋体"/>
                <w:sz w:val="24"/>
                <w:szCs w:val="24"/>
              </w:rPr>
              <w:t>供应商具备近3年在</w:t>
            </w:r>
            <w:r>
              <w:rPr>
                <w:rFonts w:hint="eastAsia" w:ascii="宋体" w:hAnsi="宋体" w:eastAsia="宋体" w:cs="宋体"/>
                <w:sz w:val="24"/>
                <w:szCs w:val="24"/>
                <w:u w:val="dotted"/>
                <w:lang w:val="en-US" w:eastAsia="zh-CN"/>
              </w:rPr>
              <w:t>政府</w:t>
            </w:r>
            <w:r>
              <w:rPr>
                <w:rFonts w:hint="eastAsia" w:ascii="宋体" w:hAnsi="宋体" w:eastAsia="宋体" w:cs="宋体"/>
                <w:sz w:val="24"/>
                <w:szCs w:val="24"/>
              </w:rPr>
              <w:t>单位项目业绩，每有一个得</w:t>
            </w:r>
            <w:r>
              <w:rPr>
                <w:rFonts w:hint="eastAsia" w:ascii="宋体" w:hAnsi="宋体" w:eastAsia="宋体" w:cs="宋体"/>
                <w:sz w:val="24"/>
                <w:szCs w:val="24"/>
                <w:lang w:val="en-US" w:eastAsia="zh-CN"/>
              </w:rPr>
              <w:t>2</w:t>
            </w:r>
            <w:r>
              <w:rPr>
                <w:rFonts w:hint="eastAsia" w:ascii="宋体" w:hAnsi="宋体" w:eastAsia="宋体" w:cs="宋体"/>
                <w:sz w:val="24"/>
                <w:szCs w:val="24"/>
              </w:rPr>
              <w:t>分，最多的1</w:t>
            </w:r>
            <w:r>
              <w:rPr>
                <w:rFonts w:hint="eastAsia" w:ascii="宋体" w:hAnsi="宋体" w:eastAsia="宋体" w:cs="宋体"/>
                <w:sz w:val="24"/>
                <w:szCs w:val="24"/>
                <w:lang w:val="en-US" w:eastAsia="zh-CN"/>
              </w:rPr>
              <w:t>0</w:t>
            </w:r>
            <w:r>
              <w:rPr>
                <w:rFonts w:hint="eastAsia" w:ascii="宋体" w:hAnsi="宋体" w:eastAsia="宋体" w:cs="宋体"/>
                <w:sz w:val="24"/>
                <w:szCs w:val="24"/>
              </w:rPr>
              <w:t>分；未提供的不得分（提供相关合同或其他有效证明文件）。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625" w:type="dxa"/>
            <w:vAlign w:val="center"/>
          </w:tcPr>
          <w:p>
            <w:pPr>
              <w:spacing w:line="360" w:lineRule="auto"/>
              <w:jc w:val="center"/>
              <w:rPr>
                <w:rFonts w:hint="eastAsia" w:ascii="宋体" w:hAnsi="宋体" w:eastAsia="宋体" w:cs="宋体"/>
                <w:sz w:val="24"/>
                <w:szCs w:val="24"/>
                <w:lang w:eastAsia="zh-CN"/>
              </w:rPr>
            </w:pPr>
            <w:r>
              <w:rPr>
                <w:rFonts w:hint="eastAsia" w:ascii="宋体" w:hAnsi="宋体" w:eastAsia="宋体" w:cs="宋体"/>
                <w:sz w:val="24"/>
                <w:szCs w:val="24"/>
                <w:lang w:val="en-US" w:eastAsia="zh-CN"/>
              </w:rPr>
              <w:t>4</w:t>
            </w:r>
          </w:p>
        </w:tc>
        <w:tc>
          <w:tcPr>
            <w:tcW w:w="1176" w:type="dxa"/>
            <w:vAlign w:val="center"/>
          </w:tcPr>
          <w:p>
            <w:pPr>
              <w:spacing w:line="360" w:lineRule="auto"/>
              <w:jc w:val="center"/>
              <w:rPr>
                <w:rFonts w:ascii="宋体" w:hAnsi="宋体" w:eastAsia="宋体" w:cs="宋体"/>
                <w:sz w:val="24"/>
                <w:szCs w:val="24"/>
              </w:rPr>
            </w:pPr>
            <w:r>
              <w:rPr>
                <w:rFonts w:hint="eastAsia" w:ascii="宋体" w:hAnsi="宋体" w:eastAsia="宋体" w:cs="宋体"/>
                <w:sz w:val="24"/>
                <w:szCs w:val="24"/>
              </w:rPr>
              <w:t>投标人实力10%</w:t>
            </w:r>
          </w:p>
        </w:tc>
        <w:tc>
          <w:tcPr>
            <w:tcW w:w="1000" w:type="dxa"/>
            <w:vAlign w:val="center"/>
          </w:tcPr>
          <w:p>
            <w:pPr>
              <w:spacing w:line="360" w:lineRule="auto"/>
              <w:jc w:val="center"/>
              <w:rPr>
                <w:rFonts w:ascii="宋体" w:hAnsi="宋体" w:eastAsia="宋体" w:cs="宋体"/>
                <w:sz w:val="24"/>
                <w:szCs w:val="24"/>
              </w:rPr>
            </w:pPr>
            <w:r>
              <w:rPr>
                <w:rFonts w:ascii="宋体" w:hAnsi="宋体" w:eastAsia="宋体" w:cs="宋体"/>
                <w:sz w:val="24"/>
                <w:szCs w:val="24"/>
              </w:rPr>
              <w:t>1</w:t>
            </w:r>
            <w:r>
              <w:rPr>
                <w:rFonts w:hint="eastAsia" w:ascii="宋体" w:hAnsi="宋体" w:eastAsia="宋体" w:cs="宋体"/>
                <w:sz w:val="24"/>
                <w:szCs w:val="24"/>
              </w:rPr>
              <w:t>0分</w:t>
            </w:r>
          </w:p>
        </w:tc>
        <w:tc>
          <w:tcPr>
            <w:tcW w:w="5522" w:type="dxa"/>
          </w:tcPr>
          <w:p>
            <w:pPr>
              <w:spacing w:line="360" w:lineRule="auto"/>
              <w:rPr>
                <w:rFonts w:ascii="宋体" w:hAnsi="宋体" w:eastAsia="宋体" w:cs="宋体"/>
                <w:sz w:val="24"/>
                <w:szCs w:val="24"/>
              </w:rPr>
            </w:pPr>
            <w:r>
              <w:rPr>
                <w:rFonts w:hint="eastAsia" w:ascii="宋体" w:hAnsi="宋体" w:eastAsia="宋体" w:cs="宋体"/>
                <w:sz w:val="24"/>
                <w:szCs w:val="24"/>
              </w:rPr>
              <w:t>供应商提供国家级证书或称号的得10分，省级证书或称号的得5分，其他不得分。提供相关证明材料（以官方链接及截图为准）。</w:t>
            </w:r>
          </w:p>
        </w:tc>
      </w:tr>
    </w:tbl>
    <w:p>
      <w:pPr>
        <w:spacing w:line="360" w:lineRule="auto"/>
        <w:rPr>
          <w:rFonts w:hint="eastAsia" w:ascii="宋体" w:hAnsi="宋体" w:eastAsia="宋体"/>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3A18C16"/>
    <w:multiLevelType w:val="singleLevel"/>
    <w:tmpl w:val="C3A18C16"/>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23F"/>
    <w:rsid w:val="0055782D"/>
    <w:rsid w:val="005D7275"/>
    <w:rsid w:val="005E2E0F"/>
    <w:rsid w:val="00655C06"/>
    <w:rsid w:val="0068320A"/>
    <w:rsid w:val="008A5EA0"/>
    <w:rsid w:val="00954291"/>
    <w:rsid w:val="00A614E5"/>
    <w:rsid w:val="00B73D1D"/>
    <w:rsid w:val="00B9219D"/>
    <w:rsid w:val="00BD6EF0"/>
    <w:rsid w:val="00C34906"/>
    <w:rsid w:val="00CC78C3"/>
    <w:rsid w:val="00D03A96"/>
    <w:rsid w:val="00D73E72"/>
    <w:rsid w:val="00EA2050"/>
    <w:rsid w:val="00EF37B5"/>
    <w:rsid w:val="00FA300A"/>
    <w:rsid w:val="00FE623F"/>
    <w:rsid w:val="327B752B"/>
    <w:rsid w:val="763A7C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9"/>
    <w:qFormat/>
    <w:uiPriority w:val="9"/>
    <w:pPr>
      <w:keepNext/>
      <w:keepLines/>
      <w:spacing w:before="340" w:after="330" w:line="578" w:lineRule="auto"/>
      <w:outlineLvl w:val="0"/>
    </w:pPr>
    <w:rPr>
      <w:b/>
      <w:bCs/>
      <w:kern w:val="44"/>
      <w:sz w:val="44"/>
      <w:szCs w:val="44"/>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unhideWhenUsed/>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字符"/>
    <w:basedOn w:val="6"/>
    <w:link w:val="4"/>
    <w:uiPriority w:val="99"/>
    <w:rPr>
      <w:sz w:val="18"/>
      <w:szCs w:val="18"/>
    </w:rPr>
  </w:style>
  <w:style w:type="character" w:customStyle="1" w:styleId="8">
    <w:name w:val="页脚 字符"/>
    <w:basedOn w:val="6"/>
    <w:link w:val="3"/>
    <w:qFormat/>
    <w:uiPriority w:val="99"/>
    <w:rPr>
      <w:sz w:val="18"/>
      <w:szCs w:val="18"/>
    </w:rPr>
  </w:style>
  <w:style w:type="character" w:customStyle="1" w:styleId="9">
    <w:name w:val="标题 1 字符"/>
    <w:basedOn w:val="6"/>
    <w:link w:val="2"/>
    <w:uiPriority w:val="9"/>
    <w:rPr>
      <w:b/>
      <w:bCs/>
      <w:kern w:val="44"/>
      <w:sz w:val="44"/>
      <w:szCs w:val="4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122</Words>
  <Characters>696</Characters>
  <Lines>5</Lines>
  <Paragraphs>1</Paragraphs>
  <TotalTime>10</TotalTime>
  <ScaleCrop>false</ScaleCrop>
  <LinksUpToDate>false</LinksUpToDate>
  <CharactersWithSpaces>817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2020-09-10T06:40:00Z</dcterms:created>
  <dc:creator>windows</dc:creator>
  <cp:lastModifiedBy>dell</cp:lastModifiedBy>
  <dcterms:modified xsi:type="dcterms:W3CDTF">2020-09-15T00:55:14Z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