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spacing w:line="576" w:lineRule="exact"/>
        <w:jc w:val="both"/>
        <w:textAlignment w:val="auto"/>
        <w:rPr>
          <w:rFonts w:hint="eastAsia" w:ascii="方正小标宋简体" w:hAnsi="方正小标宋简体" w:eastAsia="方正小标宋简体" w:cs="方正小标宋简体"/>
          <w:color w:val="auto"/>
          <w:spacing w:val="-2"/>
          <w:sz w:val="44"/>
          <w:szCs w:val="44"/>
          <w:highlight w:val="none"/>
        </w:rPr>
      </w:pPr>
      <w:bookmarkStart w:id="0" w:name="_GoBack"/>
      <w:bookmarkEnd w:id="0"/>
    </w:p>
    <w:p>
      <w:pPr>
        <w:keepNext w:val="0"/>
        <w:keepLines w:val="0"/>
        <w:pageBreakBefore w:val="0"/>
        <w:kinsoku/>
        <w:topLinePunct w:val="0"/>
        <w:autoSpaceDE/>
        <w:autoSpaceDN/>
        <w:bidi w:val="0"/>
        <w:spacing w:line="576" w:lineRule="exact"/>
        <w:jc w:val="center"/>
        <w:textAlignment w:val="auto"/>
        <w:rPr>
          <w:rFonts w:ascii="方正小标宋简体" w:hAnsi="方正小标宋简体" w:eastAsia="方正小标宋简体" w:cs="方正小标宋简体"/>
          <w:color w:val="auto"/>
          <w:spacing w:val="-2"/>
          <w:sz w:val="44"/>
          <w:szCs w:val="44"/>
          <w:highlight w:val="none"/>
        </w:rPr>
      </w:pPr>
      <w:r>
        <w:rPr>
          <w:rFonts w:hint="eastAsia" w:ascii="方正小标宋简体" w:hAnsi="方正小标宋简体" w:eastAsia="方正小标宋简体" w:cs="方正小标宋简体"/>
          <w:color w:val="auto"/>
          <w:spacing w:val="-2"/>
          <w:sz w:val="44"/>
          <w:szCs w:val="44"/>
          <w:highlight w:val="none"/>
        </w:rPr>
        <w:t>四川省基层中医药专业</w:t>
      </w:r>
    </w:p>
    <w:p>
      <w:pPr>
        <w:keepNext w:val="0"/>
        <w:keepLines w:val="0"/>
        <w:pageBreakBefore w:val="0"/>
        <w:kinsoku/>
        <w:topLinePunct w:val="0"/>
        <w:autoSpaceDE/>
        <w:autoSpaceDN/>
        <w:bidi w:val="0"/>
        <w:spacing w:line="576" w:lineRule="exact"/>
        <w:jc w:val="center"/>
        <w:textAlignment w:val="auto"/>
        <w:rPr>
          <w:rFonts w:ascii="方正小标宋简体" w:hAnsi="方正小标宋简体" w:eastAsia="方正小标宋简体" w:cs="方正小标宋简体"/>
          <w:color w:val="auto"/>
          <w:spacing w:val="-2"/>
          <w:sz w:val="44"/>
          <w:szCs w:val="44"/>
          <w:highlight w:val="none"/>
        </w:rPr>
      </w:pPr>
      <w:r>
        <w:rPr>
          <w:rFonts w:hint="eastAsia" w:ascii="方正小标宋简体" w:hAnsi="方正小标宋简体" w:eastAsia="方正小标宋简体" w:cs="方正小标宋简体"/>
          <w:color w:val="auto"/>
          <w:spacing w:val="-2"/>
          <w:sz w:val="44"/>
          <w:szCs w:val="44"/>
          <w:highlight w:val="none"/>
        </w:rPr>
        <w:t>技术人员高级职称申报评审基本条件</w:t>
      </w:r>
    </w:p>
    <w:p>
      <w:pPr>
        <w:keepNext w:val="0"/>
        <w:keepLines w:val="0"/>
        <w:pageBreakBefore w:val="0"/>
        <w:kinsoku/>
        <w:topLinePunct w:val="0"/>
        <w:autoSpaceDE/>
        <w:autoSpaceDN/>
        <w:bidi w:val="0"/>
        <w:spacing w:line="576" w:lineRule="exact"/>
        <w:jc w:val="center"/>
        <w:textAlignment w:val="auto"/>
        <w:rPr>
          <w:rFonts w:hint="eastAsia" w:ascii="楷体_GB2312" w:hAnsi="楷体_GB2312" w:eastAsia="楷体_GB2312" w:cs="楷体_GB2312"/>
          <w:color w:val="auto"/>
          <w:spacing w:val="-2"/>
          <w:sz w:val="32"/>
          <w:szCs w:val="32"/>
          <w:highlight w:val="none"/>
          <w:lang w:eastAsia="zh-CN"/>
        </w:rPr>
      </w:pPr>
      <w:r>
        <w:rPr>
          <w:rFonts w:hint="eastAsia" w:ascii="楷体_GB2312" w:hAnsi="楷体_GB2312" w:eastAsia="楷体_GB2312" w:cs="楷体_GB2312"/>
          <w:color w:val="auto"/>
          <w:spacing w:val="-2"/>
          <w:sz w:val="32"/>
          <w:szCs w:val="32"/>
          <w:highlight w:val="none"/>
          <w:lang w:eastAsia="zh-CN"/>
        </w:rPr>
        <w:t>（征求意见稿）</w:t>
      </w:r>
    </w:p>
    <w:p>
      <w:pPr>
        <w:keepNext w:val="0"/>
        <w:keepLines w:val="0"/>
        <w:pageBreakBefore w:val="0"/>
        <w:kinsoku/>
        <w:topLinePunct w:val="0"/>
        <w:autoSpaceDE/>
        <w:autoSpaceDN/>
        <w:bidi w:val="0"/>
        <w:spacing w:line="576" w:lineRule="exact"/>
        <w:jc w:val="center"/>
        <w:textAlignment w:val="auto"/>
        <w:rPr>
          <w:rFonts w:ascii="方正小标宋简体" w:hAnsi="方正小标宋简体" w:eastAsia="方正小标宋简体" w:cs="方正小标宋简体"/>
          <w:color w:val="auto"/>
          <w:spacing w:val="-2"/>
          <w:sz w:val="44"/>
          <w:szCs w:val="44"/>
          <w:highlight w:val="none"/>
        </w:rPr>
      </w:pPr>
    </w:p>
    <w:p>
      <w:pPr>
        <w:keepNext w:val="0"/>
        <w:keepLines w:val="0"/>
        <w:pageBreakBefore w:val="0"/>
        <w:kinsoku/>
        <w:overflowPunct w:val="0"/>
        <w:topLinePunct w:val="0"/>
        <w:autoSpaceDE/>
        <w:autoSpaceDN/>
        <w:bidi w:val="0"/>
        <w:spacing w:line="576" w:lineRule="exact"/>
        <w:jc w:val="center"/>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第一章  总  则</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第一条</w:t>
      </w:r>
      <w:r>
        <w:rPr>
          <w:rFonts w:hint="eastAsia" w:ascii="仿宋_GB2312" w:hAnsi="仿宋_GB2312" w:eastAsia="仿宋_GB2312" w:cs="仿宋_GB2312"/>
          <w:color w:val="auto"/>
          <w:spacing w:val="-2"/>
          <w:sz w:val="32"/>
          <w:szCs w:val="32"/>
          <w:highlight w:val="none"/>
        </w:rPr>
        <w:t xml:space="preserve">   为贯彻落实《关于促进中医药传承创新发展的实施意见》（川委发〔2020〕7号）《四川省“十四五”中医药高质量发展规划》（川办发〔2021〕78号）等文件精神，结合我省基层中医药人才发展实际，制定本条件。</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第二条</w:t>
      </w:r>
      <w:r>
        <w:rPr>
          <w:rFonts w:hint="eastAsia" w:ascii="仿宋_GB2312" w:hAnsi="仿宋_GB2312" w:eastAsia="仿宋_GB2312" w:cs="仿宋_GB2312"/>
          <w:color w:val="auto"/>
          <w:spacing w:val="-2"/>
          <w:sz w:val="32"/>
          <w:szCs w:val="32"/>
          <w:highlight w:val="none"/>
        </w:rPr>
        <w:t xml:space="preserve">  本条件适用于在我省县级及以下医疗卫生机构工作的在职在岗中医药专业技术人员。离退休人员和公务员不得参加职称评审。</w:t>
      </w:r>
    </w:p>
    <w:p>
      <w:pPr>
        <w:keepNext w:val="0"/>
        <w:keepLines w:val="0"/>
        <w:pageBreakBefore w:val="0"/>
        <w:kinsoku/>
        <w:overflowPunct w:val="0"/>
        <w:topLinePunct w:val="0"/>
        <w:autoSpaceDE/>
        <w:autoSpaceDN/>
        <w:bidi w:val="0"/>
        <w:spacing w:line="576" w:lineRule="exact"/>
        <w:ind w:firstLine="632" w:firstLineChars="200"/>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 xml:space="preserve">第三条  </w:t>
      </w:r>
      <w:r>
        <w:rPr>
          <w:rFonts w:hint="eastAsia" w:ascii="仿宋_GB2312" w:hAnsi="仿宋_GB2312" w:eastAsia="仿宋_GB2312" w:cs="仿宋_GB2312"/>
          <w:color w:val="auto"/>
          <w:sz w:val="32"/>
          <w:szCs w:val="32"/>
          <w:highlight w:val="none"/>
        </w:rPr>
        <w:t>下放评审权的成都市、绵阳市、广元市须按年度将评价标准、评审结果报人力资源社会保障厅、省中医药局备案。</w:t>
      </w:r>
      <w:r>
        <w:rPr>
          <w:rFonts w:ascii="Times New Roman" w:hAnsi="Times New Roman" w:eastAsia="仿宋_GB2312" w:cs="Times New Roman"/>
          <w:color w:val="auto"/>
          <w:sz w:val="32"/>
          <w:szCs w:val="32"/>
          <w:highlight w:val="none"/>
        </w:rPr>
        <w:t>阿坝州、甘孜州、凉山州和乐山市峨边县、马边县、金口河区中医药专业技术人员参加本地组织的“定向评价，定向使用”职称评审，不再参加全省基层中医药高级职称评审。</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第四条</w:t>
      </w:r>
      <w:r>
        <w:rPr>
          <w:rFonts w:hint="eastAsia" w:ascii="仿宋_GB2312" w:hAnsi="仿宋_GB2312" w:eastAsia="仿宋_GB2312" w:cs="仿宋_GB2312"/>
          <w:color w:val="auto"/>
          <w:spacing w:val="-2"/>
          <w:sz w:val="32"/>
          <w:szCs w:val="32"/>
          <w:highlight w:val="none"/>
        </w:rPr>
        <w:t xml:space="preserve">  基层中医药高级职称设副高级和正高级。基层副高级职称名称为基层</w:t>
      </w:r>
      <w:r>
        <w:rPr>
          <w:rFonts w:hint="eastAsia" w:ascii="仿宋_GB2312" w:hAnsi="仿宋_GB2312" w:eastAsia="仿宋_GB2312" w:cs="仿宋_GB2312"/>
          <w:color w:val="auto"/>
          <w:sz w:val="32"/>
          <w:szCs w:val="32"/>
          <w:highlight w:val="none"/>
        </w:rPr>
        <w:t>副主任中（藏）医（药）师、基层中西医结合副主任医师、基层中医副主任护（技）师，基层</w:t>
      </w:r>
      <w:r>
        <w:rPr>
          <w:rFonts w:hint="eastAsia" w:ascii="仿宋_GB2312" w:hAnsi="仿宋_GB2312" w:eastAsia="仿宋_GB2312" w:cs="仿宋_GB2312"/>
          <w:color w:val="auto"/>
          <w:spacing w:val="-2"/>
          <w:sz w:val="32"/>
          <w:szCs w:val="32"/>
          <w:highlight w:val="none"/>
        </w:rPr>
        <w:t>正高级职称名称为基层</w:t>
      </w:r>
      <w:r>
        <w:rPr>
          <w:rFonts w:hint="eastAsia" w:ascii="仿宋_GB2312" w:hAnsi="仿宋_GB2312" w:eastAsia="仿宋_GB2312" w:cs="仿宋_GB2312"/>
          <w:color w:val="auto"/>
          <w:sz w:val="32"/>
          <w:szCs w:val="32"/>
          <w:highlight w:val="none"/>
        </w:rPr>
        <w:t>主任中（藏）医（药）师、基层中西医结合主任医师、基层中医主任护（技）师。</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 xml:space="preserve">第五条 </w:t>
      </w:r>
      <w:r>
        <w:rPr>
          <w:rFonts w:hint="eastAsia" w:ascii="仿宋_GB2312" w:hAnsi="仿宋_GB2312" w:eastAsia="仿宋_GB2312" w:cs="仿宋_GB2312"/>
          <w:color w:val="auto"/>
          <w:spacing w:val="-2"/>
          <w:sz w:val="32"/>
          <w:szCs w:val="32"/>
          <w:highlight w:val="none"/>
        </w:rPr>
        <w:t xml:space="preserve"> 基层副高级职称实行考试、答辩和评审相结合方式，基层正高级职称和民族医药专业的副高级职称实行答辩和评审相结合方式。</w:t>
      </w:r>
    </w:p>
    <w:p>
      <w:pPr>
        <w:keepNext w:val="0"/>
        <w:keepLines w:val="0"/>
        <w:pageBreakBefore w:val="0"/>
        <w:numPr>
          <w:ilvl w:val="255"/>
          <w:numId w:val="0"/>
        </w:numPr>
        <w:kinsoku/>
        <w:topLinePunct w:val="0"/>
        <w:autoSpaceDE/>
        <w:autoSpaceDN/>
        <w:bidi w:val="0"/>
        <w:spacing w:line="576" w:lineRule="exact"/>
        <w:ind w:firstLine="632" w:firstLineChars="200"/>
        <w:textAlignment w:val="auto"/>
        <w:rPr>
          <w:rFonts w:ascii="仿宋_GB2312" w:eastAsia="仿宋_GB2312"/>
          <w:bCs/>
          <w:color w:val="auto"/>
          <w:spacing w:val="-2"/>
          <w:sz w:val="32"/>
          <w:szCs w:val="32"/>
          <w:highlight w:val="none"/>
        </w:rPr>
      </w:pPr>
      <w:r>
        <w:rPr>
          <w:rFonts w:hint="eastAsia" w:ascii="黑体" w:hAnsi="黑体" w:eastAsia="黑体"/>
          <w:bCs/>
          <w:color w:val="auto"/>
          <w:spacing w:val="-2"/>
          <w:sz w:val="32"/>
          <w:szCs w:val="32"/>
          <w:highlight w:val="none"/>
        </w:rPr>
        <w:t>第六条</w:t>
      </w:r>
      <w:r>
        <w:rPr>
          <w:rFonts w:hint="eastAsia" w:ascii="仿宋_GB2312" w:eastAsia="仿宋_GB2312"/>
          <w:bCs/>
          <w:color w:val="auto"/>
          <w:spacing w:val="-2"/>
          <w:sz w:val="32"/>
          <w:szCs w:val="32"/>
          <w:highlight w:val="none"/>
        </w:rPr>
        <w:t xml:space="preserve">  专业设置为：中医内科、中医外科、中医妇科、中医儿科、中医骨伤、中医五官科、针灸推拿、中医康复、中药学、民族医药、全科医学（中医）、中西医结合内科、中西医结合外科、中西医结合妇科、中西医结合儿科、中西医结合骨伤、中医护理、中医药管理、中医药健康管理。</w:t>
      </w:r>
    </w:p>
    <w:p>
      <w:pPr>
        <w:keepNext w:val="0"/>
        <w:keepLines w:val="0"/>
        <w:pageBreakBefore w:val="0"/>
        <w:numPr>
          <w:ilvl w:val="255"/>
          <w:numId w:val="0"/>
        </w:numPr>
        <w:kinsoku/>
        <w:topLinePunct w:val="0"/>
        <w:autoSpaceDE/>
        <w:autoSpaceDN/>
        <w:bidi w:val="0"/>
        <w:spacing w:line="576" w:lineRule="exact"/>
        <w:textAlignment w:val="auto"/>
        <w:rPr>
          <w:rFonts w:ascii="仿宋_GB2312" w:eastAsia="仿宋_GB2312"/>
          <w:bCs/>
          <w:color w:val="auto"/>
          <w:spacing w:val="-2"/>
          <w:sz w:val="32"/>
          <w:szCs w:val="32"/>
          <w:highlight w:val="none"/>
        </w:rPr>
      </w:pPr>
      <w:r>
        <w:rPr>
          <w:rFonts w:hint="eastAsia" w:ascii="仿宋_GB2312" w:eastAsia="仿宋_GB2312"/>
          <w:bCs/>
          <w:color w:val="auto"/>
          <w:spacing w:val="-2"/>
          <w:sz w:val="32"/>
          <w:szCs w:val="32"/>
          <w:highlight w:val="none"/>
        </w:rPr>
        <w:t xml:space="preserve">   以上专业方向可根据经济社会发展和行业需要，经人力资源社会保障厅同意后，予以动态调整。</w:t>
      </w:r>
    </w:p>
    <w:p>
      <w:pPr>
        <w:keepNext w:val="0"/>
        <w:keepLines w:val="0"/>
        <w:pageBreakBefore w:val="0"/>
        <w:kinsoku/>
        <w:overflowPunct w:val="0"/>
        <w:topLinePunct w:val="0"/>
        <w:autoSpaceDE/>
        <w:autoSpaceDN/>
        <w:bidi w:val="0"/>
        <w:spacing w:line="576" w:lineRule="exact"/>
        <w:textAlignment w:val="auto"/>
        <w:rPr>
          <w:rFonts w:ascii="仿宋_GB2312" w:hAnsi="仿宋_GB2312" w:eastAsia="仿宋_GB2312" w:cs="仿宋_GB2312"/>
          <w:color w:val="auto"/>
          <w:spacing w:val="-2"/>
          <w:sz w:val="32"/>
          <w:szCs w:val="32"/>
          <w:highlight w:val="none"/>
        </w:rPr>
      </w:pPr>
    </w:p>
    <w:p>
      <w:pPr>
        <w:keepNext w:val="0"/>
        <w:keepLines w:val="0"/>
        <w:pageBreakBefore w:val="0"/>
        <w:kinsoku/>
        <w:overflowPunct w:val="0"/>
        <w:topLinePunct w:val="0"/>
        <w:autoSpaceDE/>
        <w:autoSpaceDN/>
        <w:bidi w:val="0"/>
        <w:spacing w:line="576" w:lineRule="exact"/>
        <w:jc w:val="center"/>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第二章  基本申报条件</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w:t>
      </w:r>
      <w:r>
        <w:rPr>
          <w:rFonts w:hint="eastAsia" w:ascii="黑体" w:hAnsi="黑体" w:eastAsia="黑体" w:cs="仿宋_GB2312"/>
          <w:color w:val="auto"/>
          <w:spacing w:val="-2"/>
          <w:sz w:val="32"/>
          <w:szCs w:val="32"/>
          <w:highlight w:val="none"/>
        </w:rPr>
        <w:t>七</w:t>
      </w:r>
      <w:r>
        <w:rPr>
          <w:rFonts w:hint="eastAsia" w:ascii="黑体" w:hAnsi="黑体" w:eastAsia="黑体"/>
          <w:color w:val="auto"/>
          <w:spacing w:val="-2"/>
          <w:sz w:val="32"/>
          <w:szCs w:val="32"/>
          <w:highlight w:val="none"/>
        </w:rPr>
        <w:t>条</w:t>
      </w:r>
      <w:r>
        <w:rPr>
          <w:rFonts w:hint="eastAsia" w:ascii="仿宋_GB2312" w:hAnsi="仿宋_GB2312" w:eastAsia="仿宋_GB2312" w:cs="仿宋_GB2312"/>
          <w:color w:val="auto"/>
          <w:spacing w:val="-2"/>
          <w:sz w:val="32"/>
          <w:szCs w:val="32"/>
          <w:highlight w:val="none"/>
        </w:rPr>
        <w:t xml:space="preserve">  政治素质和职业道德要求。</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pacing w:val="-2"/>
          <w:sz w:val="32"/>
          <w:szCs w:val="32"/>
          <w:highlight w:val="none"/>
          <w:lang w:eastAsia="zh-CN"/>
        </w:rPr>
      </w:pPr>
      <w:r>
        <w:rPr>
          <w:rFonts w:hint="eastAsia" w:ascii="仿宋_GB2312" w:hAnsi="仿宋_GB2312" w:eastAsia="仿宋_GB2312" w:cs="仿宋_GB2312"/>
          <w:color w:val="auto"/>
          <w:spacing w:val="-2"/>
          <w:sz w:val="32"/>
          <w:szCs w:val="32"/>
          <w:highlight w:val="none"/>
        </w:rPr>
        <w:t>（一）坚持以习近平新时代中国特色社会主义思想为指导，认真贯彻习近平总书记对中医药工作的指示精神，在思想上、政治上、行动上始终同以习近平同志为核心的党中央保持高度一致</w:t>
      </w:r>
      <w:r>
        <w:rPr>
          <w:rFonts w:hint="eastAsia" w:ascii="仿宋_GB2312" w:hAnsi="仿宋_GB2312" w:eastAsia="仿宋_GB2312" w:cs="仿宋_GB2312"/>
          <w:color w:val="auto"/>
          <w:spacing w:val="-2"/>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pacing w:val="-2"/>
          <w:sz w:val="32"/>
          <w:szCs w:val="32"/>
          <w:highlight w:val="none"/>
          <w:lang w:eastAsia="zh-CN"/>
        </w:rPr>
      </w:pPr>
      <w:r>
        <w:rPr>
          <w:rFonts w:hint="eastAsia" w:ascii="仿宋_GB2312" w:hAnsi="仿宋_GB2312" w:eastAsia="仿宋_GB2312" w:cs="仿宋_GB2312"/>
          <w:color w:val="auto"/>
          <w:spacing w:val="-2"/>
          <w:sz w:val="32"/>
          <w:szCs w:val="32"/>
          <w:highlight w:val="none"/>
        </w:rPr>
        <w:t>（二）具有强烈的事业心和责任感，热爱中医药事业，坚持原则，敢于担当，忠于职守，勤勉尽责，能够全身心投入工作，实绩突出</w:t>
      </w:r>
      <w:r>
        <w:rPr>
          <w:rFonts w:hint="eastAsia" w:ascii="仿宋_GB2312" w:hAnsi="仿宋_GB2312" w:eastAsia="仿宋_GB2312" w:cs="仿宋_GB2312"/>
          <w:color w:val="auto"/>
          <w:spacing w:val="-2"/>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pacing w:val="-2"/>
          <w:sz w:val="32"/>
          <w:szCs w:val="32"/>
          <w:highlight w:val="none"/>
          <w:lang w:eastAsia="zh-CN"/>
        </w:rPr>
      </w:pPr>
      <w:r>
        <w:rPr>
          <w:rFonts w:hint="eastAsia" w:ascii="仿宋_GB2312" w:hAnsi="仿宋_GB2312" w:eastAsia="仿宋_GB2312" w:cs="仿宋_GB2312"/>
          <w:color w:val="auto"/>
          <w:spacing w:val="-2"/>
          <w:sz w:val="32"/>
          <w:szCs w:val="32"/>
          <w:highlight w:val="none"/>
        </w:rPr>
        <w:t>（三）具有大医精诚的良好品质，自觉弘扬“敬佑生命、救死扶伤、甘于奉献、大爱无疆”的职业精神，以人为本，仁心仁怀，严于律己，廉洁从业，严格遵守医德规范，不以医谋私</w:t>
      </w:r>
      <w:r>
        <w:rPr>
          <w:rFonts w:hint="eastAsia" w:ascii="仿宋_GB2312" w:hAnsi="仿宋_GB2312" w:eastAsia="仿宋_GB2312" w:cs="仿宋_GB2312"/>
          <w:color w:val="auto"/>
          <w:spacing w:val="-2"/>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（四）任现职以来，</w:t>
      </w:r>
      <w:r>
        <w:rPr>
          <w:rFonts w:hint="eastAsia" w:ascii="仿宋_GB2312" w:eastAsia="仿宋_GB2312"/>
          <w:bCs/>
          <w:color w:val="auto"/>
          <w:spacing w:val="-2"/>
          <w:sz w:val="32"/>
          <w:szCs w:val="32"/>
          <w:highlight w:val="none"/>
        </w:rPr>
        <w:t>胜任本职工作，年度考核合格</w:t>
      </w:r>
      <w:r>
        <w:rPr>
          <w:rFonts w:hint="eastAsia" w:ascii="仿宋_GB2312" w:hAnsi="仿宋_GB2312" w:eastAsia="仿宋_GB2312" w:cs="仿宋_GB2312"/>
          <w:color w:val="auto"/>
          <w:spacing w:val="-2"/>
          <w:sz w:val="32"/>
          <w:szCs w:val="32"/>
          <w:highlight w:val="none"/>
        </w:rPr>
        <w:t>。</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（五）任现职期间，出现下列情况的延期申报或不得申报：</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1.延期1年申报：医疗事故次要责任者；年度考核结果为“基本合格”的；在医疗“三监管”中受到行政处罚的；其他违反评审规定的。</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2.延期3年申报：医疗事故主要责任及以上责任者；年度考核结果为“不合格”的；收受“红包”、索取“回扣”的；提交虚假申报材料的；有违反评审规定的行为，在申报材料中瞒报的。</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z w:val="32"/>
          <w:szCs w:val="32"/>
          <w:highlight w:val="none"/>
        </w:rPr>
        <w:t>3.影响期内不得申报：受到党纪处分、政务处分、刑事处罚的，在受处分、处罚期间不得申报，受到党纪处分的。</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华文仿宋" w:eastAsia="仿宋_GB2312"/>
          <w:snapToGrid w:val="0"/>
          <w:color w:val="auto"/>
          <w:spacing w:val="-2"/>
          <w:sz w:val="32"/>
          <w:szCs w:val="32"/>
          <w:highlight w:val="none"/>
        </w:rPr>
      </w:pPr>
      <w:r>
        <w:rPr>
          <w:rFonts w:hint="eastAsia" w:ascii="黑体" w:hAnsi="黑体" w:eastAsia="黑体"/>
          <w:color w:val="auto"/>
          <w:spacing w:val="-2"/>
          <w:sz w:val="32"/>
          <w:szCs w:val="32"/>
          <w:highlight w:val="none"/>
        </w:rPr>
        <w:t xml:space="preserve">第八条  </w:t>
      </w:r>
      <w:r>
        <w:rPr>
          <w:rFonts w:hint="eastAsia" w:ascii="仿宋_GB2312" w:hAnsi="华文仿宋" w:eastAsia="仿宋_GB2312"/>
          <w:snapToGrid w:val="0"/>
          <w:color w:val="auto"/>
          <w:spacing w:val="-2"/>
          <w:sz w:val="32"/>
          <w:szCs w:val="32"/>
          <w:highlight w:val="none"/>
        </w:rPr>
        <w:t xml:space="preserve"> </w:t>
      </w:r>
      <w:r>
        <w:rPr>
          <w:rFonts w:hint="eastAsia" w:ascii="仿宋_GB2312" w:hAnsi="仿宋_GB2312" w:eastAsia="仿宋_GB2312" w:cs="仿宋_GB2312"/>
          <w:color w:val="auto"/>
          <w:spacing w:val="-2"/>
          <w:sz w:val="32"/>
          <w:szCs w:val="32"/>
          <w:highlight w:val="none"/>
        </w:rPr>
        <w:t>资历要求。</w:t>
      </w:r>
    </w:p>
    <w:p>
      <w:pPr>
        <w:keepNext w:val="0"/>
        <w:keepLines w:val="0"/>
        <w:pageBreakBefore w:val="0"/>
        <w:kinsoku/>
        <w:overflowPunct w:val="0"/>
        <w:topLinePunct w:val="0"/>
        <w:autoSpaceDE/>
        <w:autoSpaceDN/>
        <w:bidi w:val="0"/>
        <w:adjustRightInd/>
        <w:snapToGrid/>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楷体" w:hAnsi="楷体" w:eastAsia="楷体" w:cs="楷体"/>
          <w:color w:val="auto"/>
          <w:spacing w:val="-2"/>
          <w:sz w:val="32"/>
          <w:szCs w:val="32"/>
          <w:highlight w:val="none"/>
        </w:rPr>
        <w:t>（一）基层副高级职称</w:t>
      </w:r>
    </w:p>
    <w:p>
      <w:pPr>
        <w:keepNext w:val="0"/>
        <w:keepLines w:val="0"/>
        <w:pageBreakBefore w:val="0"/>
        <w:numPr>
          <w:ilvl w:val="255"/>
          <w:numId w:val="0"/>
        </w:numPr>
        <w:kinsoku/>
        <w:overflowPunct w:val="0"/>
        <w:topLinePunct w:val="0"/>
        <w:autoSpaceDE/>
        <w:autoSpaceDN/>
        <w:bidi w:val="0"/>
        <w:adjustRightInd w:val="0"/>
        <w:snapToGrid w:val="0"/>
        <w:spacing w:line="576"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具有（基层）</w:t>
      </w:r>
      <w:r>
        <w:rPr>
          <w:rFonts w:ascii="Times New Roman" w:hAnsi="Times New Roman" w:eastAsia="仿宋_GB2312" w:cs="Times New Roman"/>
          <w:color w:val="auto"/>
          <w:sz w:val="32"/>
          <w:szCs w:val="32"/>
          <w:highlight w:val="none"/>
        </w:rPr>
        <w:t>中医药中级专业技术</w:t>
      </w:r>
      <w:r>
        <w:rPr>
          <w:rFonts w:hint="eastAsia" w:ascii="Times New Roman" w:hAnsi="Times New Roman" w:eastAsia="仿宋_GB2312" w:cs="Times New Roman"/>
          <w:color w:val="auto"/>
          <w:sz w:val="32"/>
          <w:szCs w:val="32"/>
          <w:highlight w:val="none"/>
        </w:rPr>
        <w:t>资格，且</w:t>
      </w:r>
      <w:r>
        <w:rPr>
          <w:rFonts w:ascii="Times New Roman" w:hAnsi="Times New Roman" w:eastAsia="仿宋_GB2312" w:cs="Times New Roman"/>
          <w:color w:val="auto"/>
          <w:sz w:val="32"/>
          <w:szCs w:val="32"/>
          <w:highlight w:val="none"/>
        </w:rPr>
        <w:t>受聘担任中医</w:t>
      </w:r>
      <w:r>
        <w:rPr>
          <w:rFonts w:hint="eastAsia" w:ascii="Times New Roman" w:hAnsi="Times New Roman" w:eastAsia="仿宋_GB2312" w:cs="Times New Roman"/>
          <w:color w:val="auto"/>
          <w:sz w:val="32"/>
          <w:szCs w:val="32"/>
          <w:highlight w:val="none"/>
        </w:rPr>
        <w:t>类别主治（管）医</w:t>
      </w:r>
      <w:r>
        <w:rPr>
          <w:rFonts w:hint="eastAsia" w:ascii="Times New Roman" w:hAnsi="Times New Roman" w:eastAsia="仿宋_GB2312" w:cs="Times New Roman"/>
          <w:color w:val="auto"/>
          <w:spacing w:val="-2"/>
          <w:sz w:val="32"/>
          <w:szCs w:val="32"/>
          <w:highlight w:val="none"/>
        </w:rPr>
        <w:t>（药、护、技）</w:t>
      </w:r>
      <w:r>
        <w:rPr>
          <w:rFonts w:hint="eastAsia" w:ascii="Times New Roman" w:hAnsi="Times New Roman" w:eastAsia="仿宋_GB2312" w:cs="Times New Roman"/>
          <w:color w:val="auto"/>
          <w:sz w:val="32"/>
          <w:szCs w:val="32"/>
          <w:highlight w:val="none"/>
        </w:rPr>
        <w:t>师</w:t>
      </w:r>
      <w:r>
        <w:rPr>
          <w:rFonts w:ascii="Times New Roman" w:hAnsi="Times New Roman" w:eastAsia="仿宋_GB2312" w:cs="Times New Roman"/>
          <w:color w:val="auto"/>
          <w:sz w:val="32"/>
          <w:szCs w:val="32"/>
          <w:highlight w:val="none"/>
        </w:rPr>
        <w:t>满5年</w:t>
      </w:r>
      <w:r>
        <w:rPr>
          <w:rFonts w:hint="eastAsia" w:ascii="Times New Roman" w:hAnsi="Times New Roman" w:eastAsia="仿宋_GB2312" w:cs="Times New Roman"/>
          <w:color w:val="auto"/>
          <w:sz w:val="32"/>
          <w:szCs w:val="32"/>
          <w:highlight w:val="none"/>
        </w:rPr>
        <w:t>。</w:t>
      </w:r>
    </w:p>
    <w:p>
      <w:pPr>
        <w:keepNext w:val="0"/>
        <w:keepLines w:val="0"/>
        <w:pageBreakBefore w:val="0"/>
        <w:numPr>
          <w:ilvl w:val="-1"/>
          <w:numId w:val="0"/>
        </w:numPr>
        <w:kinsoku/>
        <w:overflowPunct w:val="0"/>
        <w:topLinePunct w:val="0"/>
        <w:autoSpaceDE/>
        <w:autoSpaceDN/>
        <w:bidi w:val="0"/>
        <w:adjustRightInd w:val="0"/>
        <w:snapToGrid w:val="0"/>
        <w:spacing w:line="576" w:lineRule="exact"/>
        <w:ind w:firstLine="0" w:firstLineChars="0"/>
        <w:textAlignment w:val="auto"/>
        <w:rPr>
          <w:rFonts w:ascii="仿宋_GB2312" w:hAnsi="仿宋_GB2312" w:eastAsia="仿宋_GB2312" w:cs="仿宋_GB2312"/>
          <w:color w:val="auto"/>
          <w:spacing w:val="-2"/>
          <w:sz w:val="32"/>
          <w:szCs w:val="32"/>
          <w:highlight w:val="none"/>
        </w:rPr>
      </w:pPr>
      <w:r>
        <w:rPr>
          <w:rFonts w:hint="eastAsia" w:ascii="楷体" w:hAnsi="楷体" w:eastAsia="楷体" w:cs="楷体"/>
          <w:color w:val="auto"/>
          <w:spacing w:val="-2"/>
          <w:sz w:val="32"/>
          <w:szCs w:val="32"/>
          <w:highlight w:val="none"/>
        </w:rPr>
        <w:t xml:space="preserve">   （二）基层正高级职称</w:t>
      </w:r>
    </w:p>
    <w:p>
      <w:pPr>
        <w:keepNext w:val="0"/>
        <w:keepLines w:val="0"/>
        <w:pageBreakBefore w:val="0"/>
        <w:kinsoku/>
        <w:overflowPunct w:val="0"/>
        <w:topLinePunct w:val="0"/>
        <w:autoSpaceDE/>
        <w:autoSpaceDN/>
        <w:bidi w:val="0"/>
        <w:adjustRightInd w:val="0"/>
        <w:snapToGrid w:val="0"/>
        <w:spacing w:line="576"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具有（基层）</w:t>
      </w:r>
      <w:r>
        <w:rPr>
          <w:rFonts w:ascii="Times New Roman" w:hAnsi="Times New Roman" w:eastAsia="仿宋_GB2312" w:cs="Times New Roman"/>
          <w:color w:val="auto"/>
          <w:sz w:val="32"/>
          <w:szCs w:val="32"/>
          <w:highlight w:val="none"/>
        </w:rPr>
        <w:t>中医药</w:t>
      </w:r>
      <w:r>
        <w:rPr>
          <w:rFonts w:hint="eastAsia" w:ascii="Times New Roman" w:hAnsi="Times New Roman" w:eastAsia="仿宋_GB2312" w:cs="Times New Roman"/>
          <w:color w:val="auto"/>
          <w:sz w:val="32"/>
          <w:szCs w:val="32"/>
          <w:highlight w:val="none"/>
        </w:rPr>
        <w:t>副高</w:t>
      </w:r>
      <w:r>
        <w:rPr>
          <w:rFonts w:ascii="Times New Roman" w:hAnsi="Times New Roman" w:eastAsia="仿宋_GB2312" w:cs="Times New Roman"/>
          <w:color w:val="auto"/>
          <w:sz w:val="32"/>
          <w:szCs w:val="32"/>
          <w:highlight w:val="none"/>
        </w:rPr>
        <w:t>级专业技术</w:t>
      </w:r>
      <w:r>
        <w:rPr>
          <w:rFonts w:hint="eastAsia" w:ascii="Times New Roman" w:hAnsi="Times New Roman" w:eastAsia="仿宋_GB2312" w:cs="Times New Roman"/>
          <w:color w:val="auto"/>
          <w:sz w:val="32"/>
          <w:szCs w:val="32"/>
          <w:highlight w:val="none"/>
        </w:rPr>
        <w:t>资格，且</w:t>
      </w:r>
      <w:r>
        <w:rPr>
          <w:rFonts w:ascii="Times New Roman" w:hAnsi="Times New Roman" w:eastAsia="仿宋_GB2312" w:cs="Times New Roman"/>
          <w:color w:val="auto"/>
          <w:sz w:val="32"/>
          <w:szCs w:val="32"/>
          <w:highlight w:val="none"/>
        </w:rPr>
        <w:t>受聘担任（基层）</w:t>
      </w:r>
      <w:r>
        <w:rPr>
          <w:rFonts w:hint="eastAsia" w:ascii="Times New Roman" w:hAnsi="Times New Roman" w:eastAsia="仿宋_GB2312" w:cs="Times New Roman"/>
          <w:color w:val="auto"/>
          <w:sz w:val="32"/>
          <w:szCs w:val="32"/>
          <w:highlight w:val="none"/>
        </w:rPr>
        <w:t>中医类别副主任医（</w:t>
      </w:r>
      <w:r>
        <w:rPr>
          <w:rFonts w:hint="eastAsia" w:ascii="Times New Roman" w:hAnsi="Times New Roman" w:eastAsia="仿宋_GB2312" w:cs="Times New Roman"/>
          <w:color w:val="auto"/>
          <w:spacing w:val="-2"/>
          <w:sz w:val="32"/>
          <w:szCs w:val="32"/>
          <w:highlight w:val="none"/>
        </w:rPr>
        <w:t>药、护、技</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pacing w:val="-2"/>
          <w:sz w:val="32"/>
          <w:szCs w:val="32"/>
          <w:highlight w:val="none"/>
        </w:rPr>
        <w:t>师</w:t>
      </w:r>
      <w:r>
        <w:rPr>
          <w:rFonts w:ascii="Times New Roman" w:hAnsi="Times New Roman" w:eastAsia="仿宋_GB2312" w:cs="Times New Roman"/>
          <w:color w:val="auto"/>
          <w:sz w:val="32"/>
          <w:szCs w:val="32"/>
          <w:highlight w:val="none"/>
        </w:rPr>
        <w:t>满5年。</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s="仿宋_GB2312"/>
          <w:color w:val="auto"/>
          <w:spacing w:val="-2"/>
          <w:sz w:val="32"/>
          <w:szCs w:val="32"/>
          <w:highlight w:val="none"/>
        </w:rPr>
        <w:t xml:space="preserve">第九条  </w:t>
      </w:r>
      <w:r>
        <w:rPr>
          <w:rFonts w:hint="eastAsia" w:ascii="仿宋_GB2312" w:hAnsi="仿宋_GB2312" w:eastAsia="仿宋_GB2312" w:cs="仿宋_GB2312"/>
          <w:color w:val="auto"/>
          <w:spacing w:val="-2"/>
          <w:sz w:val="32"/>
          <w:szCs w:val="32"/>
          <w:highlight w:val="none"/>
        </w:rPr>
        <w:t xml:space="preserve"> 专业能力。</w:t>
      </w:r>
    </w:p>
    <w:p>
      <w:pPr>
        <w:keepNext w:val="0"/>
        <w:keepLines w:val="0"/>
        <w:pageBreakBefore w:val="0"/>
        <w:kinsoku/>
        <w:overflowPunct w:val="0"/>
        <w:topLinePunct w:val="0"/>
        <w:autoSpaceDE/>
        <w:autoSpaceDN/>
        <w:bidi w:val="0"/>
        <w:spacing w:line="576" w:lineRule="exact"/>
        <w:ind w:firstLine="632" w:firstLineChars="200"/>
        <w:textAlignment w:val="auto"/>
        <w:rPr>
          <w:rFonts w:ascii="楷体" w:hAnsi="楷体" w:eastAsia="楷体" w:cs="楷体"/>
          <w:color w:val="auto"/>
          <w:spacing w:val="-2"/>
          <w:sz w:val="32"/>
          <w:szCs w:val="32"/>
          <w:highlight w:val="none"/>
        </w:rPr>
      </w:pPr>
      <w:r>
        <w:rPr>
          <w:rFonts w:hint="eastAsia" w:ascii="楷体" w:hAnsi="楷体" w:eastAsia="楷体" w:cs="楷体"/>
          <w:snapToGrid w:val="0"/>
          <w:color w:val="auto"/>
          <w:spacing w:val="-2"/>
          <w:sz w:val="32"/>
          <w:szCs w:val="32"/>
          <w:highlight w:val="none"/>
        </w:rPr>
        <w:t>（一）基层</w:t>
      </w:r>
      <w:r>
        <w:rPr>
          <w:rFonts w:hint="eastAsia" w:ascii="楷体" w:hAnsi="楷体" w:eastAsia="楷体" w:cs="楷体"/>
          <w:color w:val="auto"/>
          <w:spacing w:val="-2"/>
          <w:sz w:val="32"/>
          <w:szCs w:val="32"/>
          <w:highlight w:val="none"/>
        </w:rPr>
        <w:t>副高级职称</w:t>
      </w:r>
    </w:p>
    <w:p>
      <w:pPr>
        <w:keepNext w:val="0"/>
        <w:keepLines w:val="0"/>
        <w:pageBreakBefore w:val="0"/>
        <w:kinsoku/>
        <w:overflowPunct w:val="0"/>
        <w:topLinePunct w:val="0"/>
        <w:autoSpaceDE/>
        <w:autoSpaceDN/>
        <w:bidi w:val="0"/>
        <w:spacing w:line="576" w:lineRule="exact"/>
        <w:ind w:firstLine="632" w:firstLineChars="200"/>
        <w:textAlignment w:val="auto"/>
        <w:rPr>
          <w:rFonts w:ascii="楷体" w:hAnsi="楷体" w:eastAsia="楷体" w:cs="楷体"/>
          <w:color w:val="auto"/>
          <w:spacing w:val="-2"/>
          <w:sz w:val="32"/>
          <w:szCs w:val="32"/>
          <w:highlight w:val="none"/>
        </w:rPr>
      </w:pPr>
      <w:r>
        <w:rPr>
          <w:rFonts w:hint="eastAsia" w:ascii="仿宋_GB2312" w:hAnsi="仿宋_GB2312" w:eastAsia="仿宋_GB2312" w:cs="仿宋_GB2312"/>
          <w:color w:val="auto"/>
          <w:spacing w:val="-2"/>
          <w:sz w:val="32"/>
          <w:szCs w:val="32"/>
          <w:highlight w:val="none"/>
        </w:rPr>
        <w:t>1.申报人员须通晓中医药理论，熟悉本专业国内外学术技术发展情况，具有丰富的临床或技术经验，能熟练运用中医药理论指导临床工作，能解决本专业的疑难问题，在继承发扬中医药学术技术方面有较大的成绩，能够指导和组织本专业业务工作。</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2.执业资格要求。医师类:须具有《执业医师法》《医师执业注册暂行办法》规定的相应专业执业准入资格。</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非中医类别医师申报基层中西医结合高级职称，需提供省级中医药主管部门颁发的西医人员学习中医知识结业证书。</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护师类：须具有《护士条例》《护士执业注册管理办法》规定的相应专业执业准入资格，且在医疗机构从事中医护理工作，能熟练运用中医相关护理技能。</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3.理论考试要求。医、药、护、技师类申报基层中医药副高级职称评审前，均须参加中医药副高级专业技术资格理论考试且成绩合格（民族医药专业除外）。申报评审专业须与考试专业一致或相近。</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4.临床工作量要求。医、药、护、技师类均须平均每年参加本专业工作时间不少于40周，</w:t>
      </w:r>
      <w:r>
        <w:rPr>
          <w:rFonts w:hint="eastAsia" w:ascii="仿宋_GB2312" w:hAnsi="仿宋_GB2312" w:eastAsia="仿宋_GB2312" w:cs="仿宋_GB2312"/>
          <w:color w:val="auto"/>
          <w:sz w:val="32"/>
          <w:szCs w:val="32"/>
          <w:highlight w:val="none"/>
        </w:rPr>
        <w:t>工作量要求详见附录</w:t>
      </w:r>
      <w:r>
        <w:rPr>
          <w:rFonts w:hint="eastAsia" w:ascii="仿宋_GB2312" w:hAnsi="仿宋_GB2312" w:eastAsia="仿宋_GB2312" w:cs="仿宋_GB2312"/>
          <w:color w:val="auto"/>
          <w:spacing w:val="-2"/>
          <w:sz w:val="32"/>
          <w:szCs w:val="32"/>
          <w:highlight w:val="none"/>
        </w:rPr>
        <w:t>。</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5.中医药知识</w:t>
      </w:r>
      <w:r>
        <w:rPr>
          <w:rFonts w:hint="eastAsia" w:ascii="仿宋_GB2312" w:hAnsi="仿宋_GB2312" w:eastAsia="仿宋_GB2312" w:cs="仿宋_GB2312"/>
          <w:color w:val="auto"/>
          <w:sz w:val="32"/>
          <w:szCs w:val="32"/>
          <w:highlight w:val="none"/>
        </w:rPr>
        <w:t>科普。</w:t>
      </w:r>
      <w:r>
        <w:rPr>
          <w:rFonts w:hint="eastAsia" w:ascii="仿宋_GB2312" w:hAnsi="仿宋_GB2312" w:eastAsia="仿宋_GB2312" w:cs="仿宋_GB2312"/>
          <w:color w:val="auto"/>
          <w:spacing w:val="-2"/>
          <w:sz w:val="32"/>
          <w:szCs w:val="32"/>
          <w:highlight w:val="none"/>
        </w:rPr>
        <w:t>医、药、护、技师类均须</w:t>
      </w:r>
      <w:r>
        <w:rPr>
          <w:rFonts w:hint="eastAsia" w:ascii="仿宋_GB2312" w:hAnsi="仿宋_GB2312" w:eastAsia="仿宋_GB2312" w:cs="仿宋_GB2312"/>
          <w:color w:val="auto"/>
          <w:sz w:val="32"/>
          <w:szCs w:val="32"/>
          <w:highlight w:val="none"/>
        </w:rPr>
        <w:t>每年开展中医药健康知识讲座，在各级中医药主管部门</w:t>
      </w:r>
      <w:r>
        <w:rPr>
          <w:rFonts w:hint="eastAsia" w:ascii="仿宋_GB2312" w:hAnsi="仿宋_GB2312" w:eastAsia="仿宋_GB2312" w:cs="仿宋_GB2312"/>
          <w:color w:val="auto"/>
          <w:spacing w:val="-2"/>
          <w:sz w:val="32"/>
          <w:szCs w:val="32"/>
          <w:highlight w:val="none"/>
        </w:rPr>
        <w:t>官方网络平台</w:t>
      </w:r>
      <w:r>
        <w:rPr>
          <w:rFonts w:hint="eastAsia" w:ascii="仿宋_GB2312" w:hAnsi="仿宋_GB2312" w:eastAsia="仿宋_GB2312" w:cs="仿宋_GB2312"/>
          <w:color w:val="auto"/>
          <w:sz w:val="32"/>
          <w:szCs w:val="32"/>
          <w:highlight w:val="none"/>
        </w:rPr>
        <w:t>发表科普文章、音视频作品或在各级媒体、行业报刊、医疗卫生机构报刊或新媒体平台，发表科普文章、音视频作品。</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6.专题报告要求。医、药、护、技师类均须提交反映运用中医药理论指导从事</w:t>
      </w:r>
      <w:r>
        <w:rPr>
          <w:rFonts w:hint="eastAsia" w:ascii="Times New Roman" w:hAnsi="Times New Roman" w:eastAsia="仿宋_GB2312" w:cs="Times New Roman"/>
          <w:color w:val="auto"/>
          <w:sz w:val="32"/>
          <w:szCs w:val="32"/>
          <w:highlight w:val="none"/>
        </w:rPr>
        <w:t>本专业</w:t>
      </w:r>
      <w:r>
        <w:rPr>
          <w:rFonts w:hint="eastAsia" w:ascii="Times New Roman" w:hAnsi="Times New Roman" w:eastAsia="仿宋_GB2312" w:cs="Times New Roman"/>
          <w:color w:val="auto"/>
          <w:spacing w:val="-2"/>
          <w:sz w:val="32"/>
          <w:szCs w:val="32"/>
          <w:highlight w:val="none"/>
        </w:rPr>
        <w:t>工作的</w:t>
      </w:r>
      <w:r>
        <w:rPr>
          <w:rFonts w:hint="eastAsia" w:ascii="仿宋_GB2312" w:hAnsi="仿宋_GB2312" w:eastAsia="仿宋_GB2312" w:cs="仿宋_GB2312"/>
          <w:color w:val="auto"/>
          <w:spacing w:val="-2"/>
          <w:sz w:val="32"/>
          <w:szCs w:val="32"/>
          <w:highlight w:val="none"/>
        </w:rPr>
        <w:t>专题报告1篇，并附证明报告真实性的病例、护理记录、健康管理报告、中医药管理案例或项目等原始工作材料。</w:t>
      </w:r>
    </w:p>
    <w:p>
      <w:pPr>
        <w:keepNext w:val="0"/>
        <w:keepLines w:val="0"/>
        <w:pageBreakBefore w:val="0"/>
        <w:kinsoku/>
        <w:overflowPunct w:val="0"/>
        <w:topLinePunct w:val="0"/>
        <w:autoSpaceDE/>
        <w:autoSpaceDN/>
        <w:bidi w:val="0"/>
        <w:spacing w:line="576" w:lineRule="exact"/>
        <w:ind w:firstLine="632" w:firstLineChars="200"/>
        <w:textAlignment w:val="auto"/>
        <w:rPr>
          <w:rFonts w:ascii="楷体" w:hAnsi="楷体" w:eastAsia="楷体" w:cs="楷体"/>
          <w:snapToGrid w:val="0"/>
          <w:color w:val="auto"/>
          <w:spacing w:val="-2"/>
          <w:sz w:val="32"/>
          <w:szCs w:val="32"/>
          <w:highlight w:val="none"/>
        </w:rPr>
      </w:pPr>
      <w:r>
        <w:rPr>
          <w:rFonts w:hint="eastAsia" w:ascii="楷体" w:hAnsi="楷体" w:eastAsia="楷体" w:cs="楷体"/>
          <w:snapToGrid w:val="0"/>
          <w:color w:val="auto"/>
          <w:spacing w:val="-2"/>
          <w:sz w:val="32"/>
          <w:szCs w:val="32"/>
          <w:highlight w:val="none"/>
        </w:rPr>
        <w:t>（二）基层正高级职称</w:t>
      </w:r>
    </w:p>
    <w:p>
      <w:pPr>
        <w:keepNext w:val="0"/>
        <w:keepLines w:val="0"/>
        <w:pageBreakBefore w:val="0"/>
        <w:kinsoku/>
        <w:overflowPunct w:val="0"/>
        <w:topLinePunct w:val="0"/>
        <w:autoSpaceDE/>
        <w:autoSpaceDN/>
        <w:bidi w:val="0"/>
        <w:spacing w:line="576" w:lineRule="exact"/>
        <w:ind w:firstLine="632" w:firstLineChars="200"/>
        <w:textAlignment w:val="auto"/>
        <w:rPr>
          <w:rFonts w:ascii="楷体" w:hAnsi="楷体" w:eastAsia="楷体" w:cs="楷体"/>
          <w:color w:val="auto"/>
          <w:spacing w:val="-2"/>
          <w:sz w:val="32"/>
          <w:szCs w:val="32"/>
          <w:highlight w:val="none"/>
        </w:rPr>
      </w:pPr>
      <w:r>
        <w:rPr>
          <w:rFonts w:hint="eastAsia" w:ascii="仿宋_GB2312" w:hAnsi="仿宋_GB2312" w:eastAsia="仿宋_GB2312" w:cs="仿宋_GB2312"/>
          <w:color w:val="auto"/>
          <w:spacing w:val="-2"/>
          <w:sz w:val="32"/>
          <w:szCs w:val="32"/>
          <w:highlight w:val="none"/>
        </w:rPr>
        <w:t>1.申报人员须通晓中医药理论，熟悉本专业国内外学术技术发展情况，具有丰富的临床或技术经验，能熟练运用中医药理论指导临床工作，能解决本专业的疑难问题，在继承发扬中医药学术技术方面有较大的成绩，能够指导和组织本专业业务工作。</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2.执业资格要求。医师类：须具有《执业医师法》《医师执业注册暂行办法》规定的相应专业执业准入资格。</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非中医类别医师申报基层中西医结合高级职称，需提供省级中医药主管部门颁发的西医人员学习中医知识结业证书。</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护师类：须具有《护士条例》《护士执业注册管理办法》规定的相应专业执业准入资格，且在医疗机构从事中医护理工作，能熟练运用中医相关护理技能。</w:t>
      </w:r>
    </w:p>
    <w:p>
      <w:pPr>
        <w:keepNext w:val="0"/>
        <w:keepLines w:val="0"/>
        <w:pageBreakBefore w:val="0"/>
        <w:kinsoku/>
        <w:overflowPunct w:val="0"/>
        <w:topLinePunct w:val="0"/>
        <w:autoSpaceDE/>
        <w:autoSpaceDN/>
        <w:bidi w:val="0"/>
        <w:adjustRightInd w:val="0"/>
        <w:snapToGrid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3.临床工作量要求。医、药、护、技师类均须平均每年参加本专业工作时间不少于35周，</w:t>
      </w:r>
      <w:r>
        <w:rPr>
          <w:rFonts w:hint="eastAsia" w:ascii="仿宋_GB2312" w:hAnsi="仿宋_GB2312" w:eastAsia="仿宋_GB2312" w:cs="仿宋_GB2312"/>
          <w:color w:val="auto"/>
          <w:sz w:val="32"/>
          <w:szCs w:val="32"/>
          <w:highlight w:val="none"/>
        </w:rPr>
        <w:t>工作量要求详见附录。</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4.专题报告要求。医、药、护、技师类均须提交反映运用中医药理论指导从事本专业工作的专题报告1篇，并附证明报告真实性的病例、护理记录、健康管理报告、中医药管理案例或项目等原始工作材料。</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s="仿宋_GB2312"/>
          <w:color w:val="auto"/>
          <w:spacing w:val="-2"/>
          <w:sz w:val="32"/>
          <w:szCs w:val="32"/>
          <w:highlight w:val="none"/>
        </w:rPr>
        <w:t xml:space="preserve">第十条  </w:t>
      </w:r>
      <w:r>
        <w:rPr>
          <w:rFonts w:hint="eastAsia" w:ascii="仿宋_GB2312" w:hAnsi="仿宋_GB2312" w:eastAsia="仿宋_GB2312" w:cs="仿宋_GB2312"/>
          <w:color w:val="auto"/>
          <w:spacing w:val="-2"/>
          <w:sz w:val="32"/>
          <w:szCs w:val="32"/>
          <w:highlight w:val="none"/>
        </w:rPr>
        <w:t xml:space="preserve"> 业绩贡献</w:t>
      </w:r>
      <w:r>
        <w:rPr>
          <w:rFonts w:hint="eastAsia" w:ascii="仿宋_GB2312" w:hAnsi="仿宋_GB2312" w:eastAsia="仿宋_GB2312" w:cs="仿宋_GB2312"/>
          <w:color w:val="auto"/>
          <w:spacing w:val="-2"/>
          <w:sz w:val="32"/>
          <w:szCs w:val="32"/>
          <w:highlight w:val="none"/>
          <w:lang w:eastAsia="zh-CN"/>
        </w:rPr>
        <w:t>和学术水平。</w:t>
      </w:r>
    </w:p>
    <w:p>
      <w:pPr>
        <w:keepNext w:val="0"/>
        <w:keepLines w:val="0"/>
        <w:pageBreakBefore w:val="0"/>
        <w:kinsoku/>
        <w:overflowPunct w:val="0"/>
        <w:topLinePunct w:val="0"/>
        <w:autoSpaceDE/>
        <w:autoSpaceDN/>
        <w:bidi w:val="0"/>
        <w:spacing w:line="576" w:lineRule="exact"/>
        <w:ind w:firstLine="632" w:firstLineChars="200"/>
        <w:textAlignment w:val="auto"/>
        <w:rPr>
          <w:rFonts w:ascii="楷体" w:hAnsi="楷体" w:eastAsia="楷体" w:cs="楷体"/>
          <w:color w:val="auto"/>
          <w:spacing w:val="-2"/>
          <w:sz w:val="32"/>
          <w:szCs w:val="32"/>
          <w:highlight w:val="none"/>
        </w:rPr>
      </w:pPr>
      <w:r>
        <w:rPr>
          <w:rFonts w:hint="eastAsia" w:ascii="楷体" w:hAnsi="楷体" w:eastAsia="楷体" w:cs="楷体"/>
          <w:snapToGrid w:val="0"/>
          <w:color w:val="auto"/>
          <w:spacing w:val="-2"/>
          <w:sz w:val="32"/>
          <w:szCs w:val="32"/>
          <w:highlight w:val="none"/>
        </w:rPr>
        <w:t>（一）基层</w:t>
      </w:r>
      <w:r>
        <w:rPr>
          <w:rFonts w:hint="eastAsia" w:ascii="楷体" w:hAnsi="楷体" w:eastAsia="楷体" w:cs="楷体"/>
          <w:color w:val="auto"/>
          <w:spacing w:val="-2"/>
          <w:sz w:val="32"/>
          <w:szCs w:val="32"/>
          <w:highlight w:val="none"/>
        </w:rPr>
        <w:t>副高级职称</w:t>
      </w:r>
    </w:p>
    <w:p>
      <w:pPr>
        <w:keepNext w:val="0"/>
        <w:keepLines w:val="0"/>
        <w:pageBreakBefore w:val="0"/>
        <w:kinsoku/>
        <w:overflowPunct w:val="0"/>
        <w:topLinePunct w:val="0"/>
        <w:autoSpaceDE/>
        <w:autoSpaceDN/>
        <w:bidi w:val="0"/>
        <w:spacing w:line="576" w:lineRule="exact"/>
        <w:ind w:firstLine="635" w:firstLineChars="200"/>
        <w:textAlignment w:val="auto"/>
        <w:rPr>
          <w:rFonts w:ascii="仿宋_GB2312" w:hAnsi="仿宋_GB2312" w:eastAsia="仿宋_GB2312" w:cs="仿宋_GB2312"/>
          <w:b/>
          <w:bCs/>
          <w:color w:val="auto"/>
          <w:spacing w:val="-2"/>
          <w:sz w:val="32"/>
          <w:szCs w:val="32"/>
          <w:highlight w:val="none"/>
        </w:rPr>
      </w:pPr>
      <w:r>
        <w:rPr>
          <w:rFonts w:hint="eastAsia" w:ascii="仿宋_GB2312" w:hAnsi="仿宋_GB2312" w:eastAsia="仿宋_GB2312" w:cs="仿宋_GB2312"/>
          <w:b/>
          <w:bCs/>
          <w:color w:val="auto"/>
          <w:spacing w:val="-2"/>
          <w:sz w:val="32"/>
          <w:szCs w:val="32"/>
          <w:highlight w:val="none"/>
        </w:rPr>
        <w:t>医、药、护、技师类选择任现职期内最能反映本人专业技术水平的工作业绩成果作为代表作，须具备下列条件之一：</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1.门诊患者</w:t>
      </w:r>
      <w:r>
        <w:rPr>
          <w:rFonts w:hint="eastAsia" w:ascii="仿宋_GB2312" w:hAnsi="仿宋_GB2312" w:eastAsia="仿宋_GB2312" w:cs="仿宋_GB2312"/>
          <w:color w:val="auto"/>
          <w:kern w:val="0"/>
          <w:sz w:val="32"/>
          <w:szCs w:val="32"/>
          <w:highlight w:val="none"/>
          <w:lang w:bidi="ar"/>
        </w:rPr>
        <w:t>中药饮片处方比不低于70%、中医非药物疗法使用率不低于14%，出院患者中医为主治疗数量比例不低于19%、中医非药物疗法使用率住院不低于75%，中医药治疗疗效好</w:t>
      </w:r>
      <w:r>
        <w:rPr>
          <w:rFonts w:hint="eastAsia" w:ascii="仿宋_GB2312" w:hAnsi="仿宋_GB2312" w:eastAsia="仿宋_GB2312" w:cs="仿宋_GB2312"/>
          <w:color w:val="auto"/>
          <w:sz w:val="32"/>
          <w:szCs w:val="32"/>
          <w:highlight w:val="none"/>
        </w:rPr>
        <w:t>（限医师类）。</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2.解决本专业常见问题形成的临床病案、操作手法、教学视频、手术视频、护理案例等1个。</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3.获得县级及以上行政部门或行业学（协）会授予的本专业技能竞赛个人三等奖及以上奖项1次</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4.作为主要完成人获得本专业授权发明专利（排名前5位）。</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5.发表本专业论文1篇。</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6.参与（排名前5位）市（厅）级及以上科研项目1项。</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7.年度考核获得“优秀”等次3次。</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8.获得县级及以上党政机关表彰1次。</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9.在基层医疗卫生机构工作满20年，且受聘（基层）中医药中级专业技术职务满10年。   </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10.从事全科医学（中医）、中医儿科、中医康复、民族医药专业工作满10年，且任现职以来，年度考核获得“优秀”等次2次。  </w:t>
      </w:r>
    </w:p>
    <w:p>
      <w:pPr>
        <w:pStyle w:val="2"/>
        <w:overflowPunct w:val="0"/>
        <w:spacing w:after="0" w:line="576" w:lineRule="exact"/>
        <w:ind w:left="0" w:leftChars="0" w:firstLine="632" w:firstLineChars="200"/>
        <w:rPr>
          <w:rFonts w:ascii="楷体" w:hAnsi="楷体" w:eastAsia="楷体" w:cs="楷体"/>
          <w:color w:val="auto"/>
          <w:spacing w:val="-2"/>
          <w:sz w:val="32"/>
          <w:szCs w:val="32"/>
          <w:highlight w:val="none"/>
        </w:rPr>
      </w:pPr>
      <w:r>
        <w:rPr>
          <w:rFonts w:hint="eastAsia" w:ascii="楷体" w:hAnsi="楷体" w:eastAsia="楷体" w:cs="楷体"/>
          <w:snapToGrid w:val="0"/>
          <w:color w:val="auto"/>
          <w:spacing w:val="-2"/>
          <w:sz w:val="32"/>
          <w:szCs w:val="32"/>
          <w:highlight w:val="none"/>
        </w:rPr>
        <w:t>（二）基层</w:t>
      </w:r>
      <w:r>
        <w:rPr>
          <w:rFonts w:hint="eastAsia" w:ascii="楷体" w:hAnsi="楷体" w:eastAsia="楷体" w:cs="楷体"/>
          <w:color w:val="auto"/>
          <w:spacing w:val="-2"/>
          <w:sz w:val="32"/>
          <w:szCs w:val="32"/>
          <w:highlight w:val="none"/>
        </w:rPr>
        <w:t>正高级职称</w:t>
      </w:r>
    </w:p>
    <w:p>
      <w:pPr>
        <w:keepNext w:val="0"/>
        <w:keepLines w:val="0"/>
        <w:pageBreakBefore w:val="0"/>
        <w:kinsoku/>
        <w:overflowPunct w:val="0"/>
        <w:topLinePunct w:val="0"/>
        <w:autoSpaceDE/>
        <w:autoSpaceDN/>
        <w:bidi w:val="0"/>
        <w:spacing w:line="576" w:lineRule="exact"/>
        <w:ind w:firstLine="635" w:firstLineChars="200"/>
        <w:textAlignment w:val="auto"/>
        <w:rPr>
          <w:rFonts w:ascii="仿宋_GB2312" w:hAnsi="仿宋_GB2312" w:eastAsia="仿宋_GB2312" w:cs="仿宋_GB2312"/>
          <w:b/>
          <w:bCs/>
          <w:color w:val="auto"/>
          <w:spacing w:val="-2"/>
          <w:sz w:val="32"/>
          <w:szCs w:val="32"/>
          <w:highlight w:val="none"/>
        </w:rPr>
      </w:pPr>
      <w:r>
        <w:rPr>
          <w:rFonts w:hint="eastAsia" w:ascii="仿宋_GB2312" w:hAnsi="仿宋_GB2312" w:eastAsia="仿宋_GB2312" w:cs="仿宋_GB2312"/>
          <w:b/>
          <w:bCs/>
          <w:color w:val="auto"/>
          <w:spacing w:val="-2"/>
          <w:sz w:val="32"/>
          <w:szCs w:val="32"/>
          <w:highlight w:val="none"/>
        </w:rPr>
        <w:t>医、药、护、技师类选择任现职期内最能反映本人专业技术水平的工作业绩成果作为代表作，须具备下列条件之一：</w:t>
      </w:r>
    </w:p>
    <w:p>
      <w:pPr>
        <w:pStyle w:val="2"/>
        <w:keepNext w:val="0"/>
        <w:keepLines w:val="0"/>
        <w:pageBreakBefore w:val="0"/>
        <w:kinsoku/>
        <w:topLinePunct w:val="0"/>
        <w:autoSpaceDE/>
        <w:autoSpaceDN/>
        <w:bidi w:val="0"/>
        <w:spacing w:after="0" w:line="576" w:lineRule="exact"/>
        <w:ind w:left="0" w:leftChars="0"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1.门诊患者</w:t>
      </w:r>
      <w:r>
        <w:rPr>
          <w:rFonts w:hint="eastAsia" w:ascii="仿宋_GB2312" w:hAnsi="仿宋_GB2312" w:eastAsia="仿宋_GB2312" w:cs="仿宋_GB2312"/>
          <w:color w:val="auto"/>
          <w:kern w:val="0"/>
          <w:sz w:val="32"/>
          <w:szCs w:val="32"/>
          <w:highlight w:val="none"/>
          <w:lang w:bidi="ar"/>
        </w:rPr>
        <w:t>中药饮片处方比不低于70%、中医非药物疗法使用率不低于14%，出院患者中医为主治疗数量比例不低于19%、中医非药物疗法使用率住院不低于75%，中医药治疗疗效好</w:t>
      </w:r>
      <w:r>
        <w:rPr>
          <w:rFonts w:hint="eastAsia" w:ascii="仿宋_GB2312" w:hAnsi="仿宋_GB2312" w:eastAsia="仿宋_GB2312" w:cs="仿宋_GB2312"/>
          <w:color w:val="auto"/>
          <w:sz w:val="32"/>
          <w:szCs w:val="32"/>
          <w:highlight w:val="none"/>
        </w:rPr>
        <w:t>（限医师类）。</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2.解决本专业常见问题形成的临床病案、操作手法、教学视频、手术视频、护理案例等</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3.获得市（厅）级及以上行政部门或行业学（协）会授予的本专业技能竞赛个人三等奖及以上奖项1次</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4.作为主要完成人获得本专业授权发明专利（排名前3位）。</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5.发表本专业论文1篇</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6.参与（排名前3位）市（厅）级及以上科研项目1项</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7.年度考核获得“优秀”等次3次</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8.获得县级党政机关表彰2次或获得市（厅）级及以上党政机关表彰1次</w:t>
      </w:r>
      <w:r>
        <w:rPr>
          <w:rFonts w:hint="eastAsia" w:ascii="仿宋_GB2312" w:hAnsi="仿宋_GB2312" w:eastAsia="仿宋_GB2312" w:cs="仿宋_GB2312"/>
          <w:color w:val="auto"/>
          <w:sz w:val="32"/>
          <w:szCs w:val="32"/>
          <w:highlight w:val="none"/>
          <w:lang w:eastAsia="zh-CN"/>
        </w:rPr>
        <w:t>。</w:t>
      </w:r>
    </w:p>
    <w:p>
      <w:pPr>
        <w:overflowPunct w:val="0"/>
        <w:spacing w:line="54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9.在基层医疗卫生机构工作满30年，且受聘（基层）中医药副高级专业技术职务满8年</w:t>
      </w:r>
      <w:r>
        <w:rPr>
          <w:rFonts w:hint="eastAsia" w:ascii="仿宋_GB2312" w:hAnsi="仿宋_GB2312" w:eastAsia="仿宋_GB2312" w:cs="仿宋_GB2312"/>
          <w:color w:val="auto"/>
          <w:sz w:val="32"/>
          <w:szCs w:val="32"/>
          <w:highlight w:val="none"/>
          <w:lang w:eastAsia="zh-CN"/>
        </w:rPr>
        <w:t>。</w:t>
      </w:r>
    </w:p>
    <w:p>
      <w:pPr>
        <w:pStyle w:val="2"/>
        <w:spacing w:after="0" w:line="540" w:lineRule="exact"/>
        <w:ind w:left="0" w:leftChars="0" w:firstLine="640"/>
        <w:rPr>
          <w:rFonts w:hint="eastAsia"/>
          <w:color w:val="auto"/>
          <w:highlight w:val="none"/>
          <w:lang w:eastAsia="zh-CN"/>
        </w:rPr>
      </w:pPr>
      <w:r>
        <w:rPr>
          <w:rFonts w:hint="eastAsia" w:ascii="仿宋_GB2312" w:hAnsi="仿宋_GB2312" w:eastAsia="仿宋_GB2312" w:cs="仿宋_GB2312"/>
          <w:color w:val="auto"/>
          <w:sz w:val="32"/>
          <w:szCs w:val="32"/>
          <w:highlight w:val="none"/>
        </w:rPr>
        <w:t>10.从事全科医学（中医）、中医儿科、中医康复、</w:t>
      </w:r>
      <w:r>
        <w:rPr>
          <w:rFonts w:hint="eastAsia" w:ascii="仿宋_GB2312" w:eastAsia="仿宋_GB2312"/>
          <w:bCs/>
          <w:color w:val="auto"/>
          <w:spacing w:val="-2"/>
          <w:sz w:val="32"/>
          <w:szCs w:val="32"/>
          <w:highlight w:val="none"/>
        </w:rPr>
        <w:t>民族医药</w:t>
      </w:r>
      <w:r>
        <w:rPr>
          <w:rFonts w:hint="eastAsia" w:ascii="仿宋_GB2312" w:hAnsi="仿宋_GB2312" w:eastAsia="仿宋_GB2312" w:cs="仿宋_GB2312"/>
          <w:color w:val="auto"/>
          <w:sz w:val="32"/>
          <w:szCs w:val="32"/>
          <w:highlight w:val="none"/>
        </w:rPr>
        <w:t>专业工作满15年，且任现职以来，年度考核获得“优秀”等次2次。</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s="仿宋_GB2312"/>
          <w:color w:val="auto"/>
          <w:spacing w:val="-2"/>
          <w:sz w:val="32"/>
          <w:szCs w:val="32"/>
          <w:highlight w:val="none"/>
        </w:rPr>
        <w:t>第</w:t>
      </w:r>
      <w:r>
        <w:rPr>
          <w:rFonts w:hint="eastAsia" w:ascii="黑体" w:hAnsi="黑体" w:eastAsia="黑体"/>
          <w:color w:val="auto"/>
          <w:spacing w:val="-2"/>
          <w:sz w:val="32"/>
          <w:szCs w:val="32"/>
          <w:highlight w:val="none"/>
        </w:rPr>
        <w:t>十一</w:t>
      </w:r>
      <w:r>
        <w:rPr>
          <w:rFonts w:hint="eastAsia" w:ascii="黑体" w:hAnsi="黑体" w:eastAsia="黑体" w:cs="仿宋_GB2312"/>
          <w:color w:val="auto"/>
          <w:spacing w:val="-2"/>
          <w:sz w:val="32"/>
          <w:szCs w:val="32"/>
          <w:highlight w:val="none"/>
        </w:rPr>
        <w:t>条</w:t>
      </w:r>
      <w:r>
        <w:rPr>
          <w:rFonts w:hint="eastAsia" w:ascii="仿宋_GB2312" w:hAnsi="仿宋_GB2312" w:eastAsia="仿宋_GB2312" w:cs="仿宋_GB2312"/>
          <w:color w:val="auto"/>
          <w:spacing w:val="-2"/>
          <w:sz w:val="32"/>
          <w:szCs w:val="32"/>
          <w:highlight w:val="none"/>
        </w:rPr>
        <w:t xml:space="preserve">  继续教育要求。</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任现职期间，按照《专业技术人员继续教育规定》（人社部第25号令）和《关于&lt;专业技术人员继续教育规定&gt;的贯彻实施意见》（川人社发〔2016〕20号）、《中医药继续教育学分管理办法》（国中医药继教委发〔2007〕2号）等文件要求，结合专业技术工作实际需要，参加继续教育。</w:t>
      </w:r>
    </w:p>
    <w:p>
      <w:pPr>
        <w:keepNext w:val="0"/>
        <w:keepLines w:val="0"/>
        <w:pageBreakBefore w:val="0"/>
        <w:widowControl/>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第十</w:t>
      </w:r>
      <w:r>
        <w:rPr>
          <w:rFonts w:hint="eastAsia" w:ascii="黑体" w:hAnsi="黑体" w:eastAsia="黑体"/>
          <w:color w:val="auto"/>
          <w:spacing w:val="-2"/>
          <w:sz w:val="32"/>
          <w:szCs w:val="32"/>
          <w:highlight w:val="none"/>
          <w:lang w:val="en-US" w:eastAsia="zh-CN"/>
        </w:rPr>
        <w:t>二</w:t>
      </w:r>
      <w:r>
        <w:rPr>
          <w:rFonts w:hint="eastAsia" w:ascii="黑体" w:hAnsi="黑体" w:eastAsia="黑体"/>
          <w:color w:val="auto"/>
          <w:spacing w:val="-2"/>
          <w:sz w:val="32"/>
          <w:szCs w:val="32"/>
          <w:highlight w:val="none"/>
        </w:rPr>
        <w:t>条</w:t>
      </w:r>
      <w:r>
        <w:rPr>
          <w:rFonts w:hint="eastAsia" w:ascii="仿宋_GB2312" w:hAnsi="仿宋_GB2312" w:eastAsia="仿宋_GB2312" w:cs="仿宋_GB2312"/>
          <w:color w:val="auto"/>
          <w:spacing w:val="-2"/>
          <w:sz w:val="32"/>
          <w:szCs w:val="32"/>
          <w:highlight w:val="none"/>
        </w:rPr>
        <w:t xml:space="preserve">  任现职期间，须完成跟师学习或进修学习，具体要求如下：</w:t>
      </w:r>
    </w:p>
    <w:p>
      <w:pPr>
        <w:keepNext w:val="0"/>
        <w:keepLines w:val="0"/>
        <w:pageBreakBefore w:val="0"/>
        <w:widowControl/>
        <w:kinsoku/>
        <w:overflowPunct w:val="0"/>
        <w:topLinePunct w:val="0"/>
        <w:autoSpaceDE/>
        <w:autoSpaceDN/>
        <w:bidi w:val="0"/>
        <w:spacing w:line="576" w:lineRule="exact"/>
        <w:ind w:firstLine="632" w:firstLineChars="200"/>
        <w:textAlignment w:val="auto"/>
        <w:rPr>
          <w:rFonts w:ascii="仿宋_GB2312" w:eastAsia="仿宋_GB2312"/>
          <w:color w:val="auto"/>
          <w:sz w:val="32"/>
          <w:szCs w:val="32"/>
          <w:highlight w:val="none"/>
        </w:rPr>
      </w:pPr>
      <w:r>
        <w:rPr>
          <w:rFonts w:hint="eastAsia" w:ascii="仿宋_GB2312" w:hAnsi="仿宋_GB2312" w:eastAsia="仿宋_GB2312" w:cs="仿宋_GB2312"/>
          <w:color w:val="auto"/>
          <w:spacing w:val="-2"/>
          <w:sz w:val="32"/>
          <w:szCs w:val="32"/>
          <w:highlight w:val="none"/>
        </w:rPr>
        <w:t>（一）跟师学习。</w:t>
      </w:r>
      <w:r>
        <w:rPr>
          <w:rFonts w:hint="eastAsia" w:ascii="仿宋_GB2312" w:eastAsia="仿宋_GB2312"/>
          <w:color w:val="auto"/>
          <w:sz w:val="32"/>
          <w:szCs w:val="32"/>
          <w:highlight w:val="none"/>
        </w:rPr>
        <w:t>医、</w:t>
      </w:r>
      <w:r>
        <w:rPr>
          <w:rFonts w:hint="eastAsia" w:ascii="Times New Roman" w:hAnsi="Times New Roman" w:eastAsia="仿宋_GB2312" w:cs="Times New Roman"/>
          <w:color w:val="auto"/>
          <w:sz w:val="32"/>
          <w:szCs w:val="32"/>
          <w:highlight w:val="none"/>
        </w:rPr>
        <w:t>药、技师类</w:t>
      </w:r>
      <w:r>
        <w:rPr>
          <w:rFonts w:hint="eastAsia" w:ascii="仿宋_GB2312" w:eastAsia="仿宋_GB2312"/>
          <w:color w:val="auto"/>
          <w:sz w:val="32"/>
          <w:szCs w:val="32"/>
          <w:highlight w:val="none"/>
        </w:rPr>
        <w:t>完成市级以上师承项目跟师学习。</w:t>
      </w:r>
      <w:r>
        <w:rPr>
          <w:rFonts w:hint="eastAsia" w:ascii="仿宋_GB2312" w:hAnsi="仿宋_GB2312" w:eastAsia="仿宋_GB2312" w:cs="仿宋_GB2312"/>
          <w:color w:val="auto"/>
          <w:spacing w:val="-2"/>
          <w:sz w:val="32"/>
          <w:szCs w:val="32"/>
          <w:highlight w:val="none"/>
        </w:rPr>
        <w:t>医、</w:t>
      </w:r>
      <w:r>
        <w:rPr>
          <w:rFonts w:hint="eastAsia" w:ascii="Times New Roman" w:hAnsi="Times New Roman" w:eastAsia="仿宋_GB2312" w:cs="Times New Roman"/>
          <w:color w:val="auto"/>
          <w:sz w:val="32"/>
          <w:szCs w:val="32"/>
          <w:highlight w:val="none"/>
        </w:rPr>
        <w:t>药、护、技师类</w:t>
      </w:r>
      <w:r>
        <w:rPr>
          <w:rFonts w:hint="eastAsia" w:ascii="仿宋_GB2312" w:hAnsi="仿宋_GB2312" w:eastAsia="仿宋_GB2312" w:cs="仿宋_GB2312"/>
          <w:color w:val="auto"/>
          <w:spacing w:val="-2"/>
          <w:sz w:val="32"/>
          <w:szCs w:val="32"/>
          <w:highlight w:val="none"/>
        </w:rPr>
        <w:t>参加省级及以上中医药行政部门举办的师承、优才、护理骨干等人才培养项目，考核合格视为完成跟师学习。</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pacing w:val="-2"/>
          <w:sz w:val="32"/>
          <w:szCs w:val="32"/>
          <w:highlight w:val="none"/>
        </w:rPr>
      </w:pPr>
      <w:r>
        <w:rPr>
          <w:rFonts w:hint="eastAsia" w:ascii="Times New Roman" w:hAnsi="Times New Roman" w:eastAsia="仿宋_GB2312" w:cs="Times New Roman"/>
          <w:color w:val="auto"/>
          <w:sz w:val="32"/>
          <w:szCs w:val="32"/>
          <w:highlight w:val="none"/>
        </w:rPr>
        <w:t>（二）进修学习。</w:t>
      </w:r>
      <w:r>
        <w:rPr>
          <w:rFonts w:hint="eastAsia" w:ascii="仿宋_GB2312" w:eastAsia="仿宋_GB2312"/>
          <w:color w:val="auto"/>
          <w:sz w:val="32"/>
          <w:szCs w:val="32"/>
          <w:highlight w:val="none"/>
        </w:rPr>
        <w:t>医</w:t>
      </w:r>
      <w:r>
        <w:rPr>
          <w:rFonts w:hint="eastAsia" w:ascii="Times New Roman" w:hAnsi="Times New Roman" w:eastAsia="仿宋_GB2312" w:cs="Times New Roman"/>
          <w:color w:val="auto"/>
          <w:sz w:val="32"/>
          <w:szCs w:val="32"/>
          <w:highlight w:val="none"/>
        </w:rPr>
        <w:t>师类</w:t>
      </w:r>
      <w:r>
        <w:rPr>
          <w:rFonts w:hint="eastAsia" w:ascii="仿宋_GB2312" w:hAnsi="仿宋_GB2312" w:eastAsia="仿宋_GB2312" w:cs="仿宋_GB2312"/>
          <w:color w:val="auto"/>
          <w:sz w:val="32"/>
          <w:szCs w:val="32"/>
          <w:highlight w:val="none"/>
        </w:rPr>
        <w:t>须到上级医疗机构全脱产规范化进修6个月。</w:t>
      </w:r>
      <w:r>
        <w:rPr>
          <w:rFonts w:hint="eastAsia" w:ascii="Times New Roman" w:hAnsi="Times New Roman" w:eastAsia="仿宋_GB2312" w:cs="Times New Roman"/>
          <w:color w:val="auto"/>
          <w:sz w:val="32"/>
          <w:szCs w:val="32"/>
          <w:highlight w:val="none"/>
        </w:rPr>
        <w:t>药、护、技师类</w:t>
      </w:r>
      <w:r>
        <w:rPr>
          <w:rFonts w:hint="eastAsia" w:ascii="仿宋_GB2312" w:hAnsi="仿宋_GB2312" w:eastAsia="仿宋_GB2312" w:cs="仿宋_GB2312"/>
          <w:color w:val="auto"/>
          <w:sz w:val="32"/>
          <w:szCs w:val="32"/>
          <w:highlight w:val="none"/>
        </w:rPr>
        <w:t>须到上级医疗机构完成连续3个月以上的进修学习。</w:t>
      </w:r>
    </w:p>
    <w:p>
      <w:pPr>
        <w:keepNext w:val="0"/>
        <w:keepLines w:val="0"/>
        <w:pageBreakBefore w:val="0"/>
        <w:numPr>
          <w:ilvl w:val="-1"/>
          <w:numId w:val="0"/>
        </w:numPr>
        <w:kinsoku/>
        <w:overflowPunct w:val="0"/>
        <w:topLinePunct w:val="0"/>
        <w:autoSpaceDE/>
        <w:autoSpaceDN/>
        <w:bidi w:val="0"/>
        <w:spacing w:line="576" w:lineRule="exact"/>
        <w:ind w:firstLine="632" w:firstLineChars="200"/>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第十</w:t>
      </w:r>
      <w:r>
        <w:rPr>
          <w:rFonts w:hint="eastAsia" w:ascii="黑体" w:hAnsi="黑体" w:eastAsia="黑体"/>
          <w:color w:val="auto"/>
          <w:spacing w:val="-2"/>
          <w:sz w:val="32"/>
          <w:szCs w:val="32"/>
          <w:highlight w:val="none"/>
          <w:lang w:val="en-US" w:eastAsia="zh-CN"/>
        </w:rPr>
        <w:t>三</w:t>
      </w:r>
      <w:r>
        <w:rPr>
          <w:rFonts w:hint="eastAsia" w:ascii="黑体" w:hAnsi="黑体" w:eastAsia="黑体"/>
          <w:color w:val="auto"/>
          <w:spacing w:val="-2"/>
          <w:sz w:val="32"/>
          <w:szCs w:val="32"/>
          <w:highlight w:val="none"/>
        </w:rPr>
        <w:t xml:space="preserve">条  </w:t>
      </w:r>
      <w:r>
        <w:rPr>
          <w:rFonts w:hint="eastAsia" w:ascii="仿宋_GB2312" w:hAnsi="仿宋_GB2312" w:eastAsia="仿宋_GB2312" w:cs="仿宋_GB2312"/>
          <w:color w:val="auto"/>
          <w:spacing w:val="-2"/>
          <w:sz w:val="32"/>
          <w:szCs w:val="32"/>
          <w:highlight w:val="none"/>
        </w:rPr>
        <w:t>对口支援要求。</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仿宋_GB2312" w:eastAsia="仿宋_GB2312" w:cs="仿宋_GB2312"/>
          <w:color w:val="auto"/>
          <w:spacing w:val="-2"/>
          <w:sz w:val="32"/>
          <w:szCs w:val="32"/>
          <w:highlight w:val="none"/>
        </w:rPr>
        <w:t>任现职以来，参加各级党委、政府指派的对口帮扶工作，按照相关规定可提前申报；援外的按现行规定提前申报。</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县二级及以上医疗机构的执业医师在申报基层中医药副主任医师职称评审前，须有累计1年以上在县级及以下或者对口支援的医疗卫生机构提供医疗卫生服务的经历。国家和我省另有规定的，按其规定执行。</w:t>
      </w:r>
    </w:p>
    <w:p>
      <w:pPr>
        <w:keepNext w:val="0"/>
        <w:keepLines w:val="0"/>
        <w:pageBreakBefore w:val="0"/>
        <w:widowControl/>
        <w:kinsoku/>
        <w:overflowPunct/>
        <w:topLinePunct w:val="0"/>
        <w:autoSpaceDE/>
        <w:autoSpaceDN/>
        <w:bidi w:val="0"/>
        <w:spacing w:line="576" w:lineRule="exact"/>
        <w:ind w:firstLine="632" w:firstLineChars="200"/>
        <w:textAlignment w:val="auto"/>
        <w:rPr>
          <w:rFonts w:ascii="黑体" w:hAnsi="黑体" w:eastAsia="黑体"/>
          <w:color w:val="auto"/>
          <w:spacing w:val="-2"/>
          <w:sz w:val="32"/>
          <w:szCs w:val="32"/>
          <w:highlight w:val="none"/>
        </w:rPr>
      </w:pPr>
      <w:r>
        <w:rPr>
          <w:rFonts w:hint="eastAsia" w:ascii="仿宋_GB2312" w:hAnsi="仿宋_GB2312" w:eastAsia="仿宋_GB2312" w:cs="仿宋_GB2312"/>
          <w:color w:val="auto"/>
          <w:spacing w:val="-2"/>
          <w:sz w:val="32"/>
          <w:szCs w:val="32"/>
          <w:highlight w:val="none"/>
        </w:rPr>
        <w:t>执行中医强基层“百千万”行动任务、中医药“一带一路”任务、中医药区域合作项目任务且考核合格，视为完成对口支援。</w:t>
      </w:r>
    </w:p>
    <w:p>
      <w:pPr>
        <w:keepNext w:val="0"/>
        <w:keepLines w:val="0"/>
        <w:pageBreakBefore w:val="0"/>
        <w:kinsoku/>
        <w:overflowPunct w:val="0"/>
        <w:topLinePunct w:val="0"/>
        <w:autoSpaceDE/>
        <w:autoSpaceDN/>
        <w:bidi w:val="0"/>
        <w:spacing w:line="576" w:lineRule="exact"/>
        <w:jc w:val="center"/>
        <w:textAlignment w:val="auto"/>
        <w:rPr>
          <w:rFonts w:hint="eastAsia" w:ascii="黑体" w:hAnsi="黑体" w:eastAsia="黑体"/>
          <w:color w:val="auto"/>
          <w:spacing w:val="-2"/>
          <w:sz w:val="32"/>
          <w:szCs w:val="32"/>
          <w:highlight w:val="none"/>
        </w:rPr>
      </w:pPr>
    </w:p>
    <w:p>
      <w:pPr>
        <w:keepNext w:val="0"/>
        <w:keepLines w:val="0"/>
        <w:pageBreakBefore w:val="0"/>
        <w:kinsoku/>
        <w:overflowPunct w:val="0"/>
        <w:topLinePunct w:val="0"/>
        <w:autoSpaceDE/>
        <w:autoSpaceDN/>
        <w:bidi w:val="0"/>
        <w:spacing w:line="576" w:lineRule="exact"/>
        <w:jc w:val="center"/>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第三章  破格申报条件</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第十</w:t>
      </w:r>
      <w:r>
        <w:rPr>
          <w:rFonts w:hint="eastAsia" w:ascii="黑体" w:hAnsi="黑体" w:eastAsia="黑体"/>
          <w:color w:val="auto"/>
          <w:spacing w:val="-2"/>
          <w:sz w:val="32"/>
          <w:szCs w:val="32"/>
          <w:highlight w:val="none"/>
          <w:lang w:val="en-US" w:eastAsia="zh-CN"/>
        </w:rPr>
        <w:t>四</w:t>
      </w:r>
      <w:r>
        <w:rPr>
          <w:rFonts w:hint="eastAsia" w:ascii="黑体" w:hAnsi="黑体" w:eastAsia="黑体"/>
          <w:color w:val="auto"/>
          <w:spacing w:val="-2"/>
          <w:sz w:val="32"/>
          <w:szCs w:val="32"/>
          <w:highlight w:val="none"/>
        </w:rPr>
        <w:t>条</w:t>
      </w:r>
      <w:r>
        <w:rPr>
          <w:rFonts w:hint="eastAsia" w:ascii="黑体" w:hAnsi="黑体" w:eastAsia="黑体"/>
          <w:snapToGrid w:val="0"/>
          <w:color w:val="auto"/>
          <w:spacing w:val="-2"/>
          <w:sz w:val="32"/>
          <w:szCs w:val="32"/>
          <w:highlight w:val="none"/>
        </w:rPr>
        <w:t xml:space="preserve">  </w:t>
      </w:r>
      <w:r>
        <w:rPr>
          <w:rFonts w:hint="eastAsia" w:ascii="仿宋_GB2312" w:hAnsi="仿宋_GB2312" w:eastAsia="仿宋_GB2312" w:cs="仿宋_GB2312"/>
          <w:color w:val="auto"/>
          <w:spacing w:val="-2"/>
          <w:sz w:val="32"/>
          <w:szCs w:val="32"/>
          <w:highlight w:val="none"/>
        </w:rPr>
        <w:t xml:space="preserve"> 确有真才实学、成绩显著、贡献突出，受聘（基层）中医药中级专业技术职务满3年，</w:t>
      </w:r>
      <w:r>
        <w:rPr>
          <w:rFonts w:hint="eastAsia" w:ascii="仿宋_GB2312" w:hAnsi="仿宋_GB2312" w:eastAsia="仿宋_GB2312" w:cs="仿宋_GB2312"/>
          <w:color w:val="auto"/>
          <w:sz w:val="32"/>
          <w:szCs w:val="32"/>
          <w:highlight w:val="none"/>
        </w:rPr>
        <w:t>具备其他基本申报条件，</w:t>
      </w:r>
      <w:r>
        <w:rPr>
          <w:rFonts w:hint="eastAsia" w:ascii="仿宋_GB2312" w:hAnsi="仿宋_GB2312" w:eastAsia="仿宋_GB2312" w:cs="仿宋_GB2312"/>
          <w:color w:val="auto"/>
          <w:spacing w:val="-2"/>
          <w:sz w:val="32"/>
          <w:szCs w:val="32"/>
          <w:highlight w:val="none"/>
        </w:rPr>
        <w:t>且任职期间具备下列条件之一者，可破格申报评审基层中医药副高级职称。</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（一）获得省（部）级及以上党政机关表彰。</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（二）获得省级及以上“五一”劳动奖章。</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（三）获得省级及以上劳动模范或先进工作者称号。</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第十</w:t>
      </w:r>
      <w:r>
        <w:rPr>
          <w:rFonts w:hint="eastAsia" w:ascii="黑体" w:hAnsi="黑体" w:eastAsia="黑体"/>
          <w:color w:val="auto"/>
          <w:spacing w:val="-2"/>
          <w:sz w:val="32"/>
          <w:szCs w:val="32"/>
          <w:highlight w:val="none"/>
          <w:lang w:val="en-US" w:eastAsia="zh-CN"/>
        </w:rPr>
        <w:t>五</w:t>
      </w:r>
      <w:r>
        <w:rPr>
          <w:rFonts w:hint="eastAsia" w:ascii="黑体" w:hAnsi="黑体" w:eastAsia="黑体"/>
          <w:color w:val="auto"/>
          <w:spacing w:val="-2"/>
          <w:sz w:val="32"/>
          <w:szCs w:val="32"/>
          <w:highlight w:val="none"/>
        </w:rPr>
        <w:t>条</w:t>
      </w:r>
      <w:r>
        <w:rPr>
          <w:rFonts w:hint="eastAsia" w:ascii="仿宋_GB2312" w:hAnsi="仿宋_GB2312" w:eastAsia="仿宋_GB2312" w:cs="仿宋_GB2312"/>
          <w:color w:val="auto"/>
          <w:spacing w:val="-2"/>
          <w:sz w:val="32"/>
          <w:szCs w:val="32"/>
          <w:highlight w:val="none"/>
        </w:rPr>
        <w:t xml:space="preserve">  确有真才实学、成绩显著、贡献突出，受聘（基层）中医药副高级专业技术职务满3年，</w:t>
      </w:r>
      <w:r>
        <w:rPr>
          <w:rFonts w:hint="eastAsia" w:ascii="仿宋_GB2312" w:hAnsi="仿宋_GB2312" w:eastAsia="仿宋_GB2312" w:cs="仿宋_GB2312"/>
          <w:color w:val="auto"/>
          <w:sz w:val="32"/>
          <w:szCs w:val="32"/>
          <w:highlight w:val="none"/>
        </w:rPr>
        <w:t>具备其他基本申报条件，</w:t>
      </w:r>
      <w:r>
        <w:rPr>
          <w:rFonts w:hint="eastAsia" w:ascii="仿宋_GB2312" w:hAnsi="仿宋_GB2312" w:eastAsia="仿宋_GB2312" w:cs="仿宋_GB2312"/>
          <w:color w:val="auto"/>
          <w:spacing w:val="-2"/>
          <w:sz w:val="32"/>
          <w:szCs w:val="32"/>
          <w:highlight w:val="none"/>
        </w:rPr>
        <w:t>且任职期间具备下列条件之一者，可破格申报评审基层中医药正高级职称。</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pacing w:val="-2"/>
          <w:sz w:val="32"/>
          <w:szCs w:val="32"/>
          <w:highlight w:val="none"/>
          <w:lang w:eastAsia="zh-CN"/>
        </w:rPr>
      </w:pPr>
      <w:r>
        <w:rPr>
          <w:rFonts w:hint="eastAsia" w:ascii="仿宋_GB2312" w:hAnsi="仿宋_GB2312" w:eastAsia="仿宋_GB2312" w:cs="仿宋_GB2312"/>
          <w:color w:val="auto"/>
          <w:spacing w:val="-2"/>
          <w:sz w:val="32"/>
          <w:szCs w:val="32"/>
          <w:highlight w:val="none"/>
        </w:rPr>
        <w:t>（一）获得全国“五一”劳动奖章</w:t>
      </w:r>
      <w:r>
        <w:rPr>
          <w:rFonts w:hint="eastAsia" w:ascii="仿宋_GB2312" w:hAnsi="仿宋_GB2312" w:eastAsia="仿宋_GB2312" w:cs="仿宋_GB2312"/>
          <w:color w:val="auto"/>
          <w:spacing w:val="-2"/>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pacing w:val="-2"/>
          <w:sz w:val="32"/>
          <w:szCs w:val="32"/>
          <w:highlight w:val="none"/>
          <w:lang w:eastAsia="zh-CN"/>
        </w:rPr>
      </w:pPr>
      <w:r>
        <w:rPr>
          <w:rFonts w:hint="eastAsia" w:ascii="仿宋_GB2312" w:hAnsi="仿宋_GB2312" w:eastAsia="仿宋_GB2312" w:cs="仿宋_GB2312"/>
          <w:color w:val="auto"/>
          <w:spacing w:val="-2"/>
          <w:sz w:val="32"/>
          <w:szCs w:val="32"/>
          <w:highlight w:val="none"/>
        </w:rPr>
        <w:t>（二）获得全国劳动模范或先进工作者称号</w:t>
      </w:r>
      <w:r>
        <w:rPr>
          <w:rFonts w:hint="eastAsia" w:ascii="仿宋_GB2312" w:hAnsi="仿宋_GB2312" w:eastAsia="仿宋_GB2312" w:cs="仿宋_GB2312"/>
          <w:color w:val="auto"/>
          <w:spacing w:val="-2"/>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z w:val="32"/>
          <w:szCs w:val="32"/>
          <w:highlight w:val="none"/>
        </w:rPr>
        <w:t>第</w:t>
      </w:r>
      <w:r>
        <w:rPr>
          <w:rFonts w:hint="eastAsia" w:ascii="黑体" w:hAnsi="黑体" w:eastAsia="黑体"/>
          <w:color w:val="auto"/>
          <w:spacing w:val="-2"/>
          <w:sz w:val="32"/>
          <w:szCs w:val="32"/>
          <w:highlight w:val="none"/>
        </w:rPr>
        <w:t>十</w:t>
      </w:r>
      <w:r>
        <w:rPr>
          <w:rFonts w:hint="eastAsia" w:ascii="黑体" w:hAnsi="黑体" w:eastAsia="黑体"/>
          <w:color w:val="auto"/>
          <w:spacing w:val="-2"/>
          <w:sz w:val="32"/>
          <w:szCs w:val="32"/>
          <w:highlight w:val="none"/>
          <w:lang w:val="en-US" w:eastAsia="zh-CN"/>
        </w:rPr>
        <w:t>六</w:t>
      </w:r>
      <w:r>
        <w:rPr>
          <w:rFonts w:hint="eastAsia" w:ascii="黑体" w:hAnsi="黑体" w:eastAsia="黑体"/>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pacing w:val="-2"/>
          <w:sz w:val="32"/>
          <w:szCs w:val="32"/>
          <w:highlight w:val="none"/>
        </w:rPr>
        <w:t>国家和我省有其他相关职称申报评审破格规定的，从其规定。</w:t>
      </w:r>
    </w:p>
    <w:p>
      <w:pPr>
        <w:keepNext w:val="0"/>
        <w:keepLines w:val="0"/>
        <w:pageBreakBefore w:val="0"/>
        <w:kinsoku/>
        <w:overflowPunct w:val="0"/>
        <w:topLinePunct w:val="0"/>
        <w:autoSpaceDE/>
        <w:autoSpaceDN/>
        <w:bidi w:val="0"/>
        <w:spacing w:line="576" w:lineRule="exact"/>
        <w:jc w:val="center"/>
        <w:textAlignment w:val="auto"/>
        <w:rPr>
          <w:rFonts w:hint="eastAsia" w:ascii="黑体" w:hAnsi="黑体" w:eastAsia="黑体"/>
          <w:color w:val="auto"/>
          <w:spacing w:val="-2"/>
          <w:sz w:val="32"/>
          <w:szCs w:val="32"/>
          <w:highlight w:val="none"/>
        </w:rPr>
      </w:pPr>
    </w:p>
    <w:p>
      <w:pPr>
        <w:keepNext w:val="0"/>
        <w:keepLines w:val="0"/>
        <w:pageBreakBefore w:val="0"/>
        <w:kinsoku/>
        <w:overflowPunct w:val="0"/>
        <w:topLinePunct w:val="0"/>
        <w:autoSpaceDE/>
        <w:autoSpaceDN/>
        <w:bidi w:val="0"/>
        <w:spacing w:line="576" w:lineRule="exact"/>
        <w:jc w:val="center"/>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第四章   答  辩</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第十</w:t>
      </w:r>
      <w:r>
        <w:rPr>
          <w:rFonts w:hint="eastAsia" w:ascii="黑体" w:hAnsi="黑体" w:eastAsia="黑体"/>
          <w:color w:val="auto"/>
          <w:spacing w:val="-2"/>
          <w:sz w:val="32"/>
          <w:szCs w:val="32"/>
          <w:highlight w:val="none"/>
          <w:lang w:val="en-US" w:eastAsia="zh-CN"/>
        </w:rPr>
        <w:t>七</w:t>
      </w:r>
      <w:r>
        <w:rPr>
          <w:rFonts w:hint="eastAsia" w:ascii="黑体" w:hAnsi="黑体" w:eastAsia="黑体"/>
          <w:color w:val="auto"/>
          <w:spacing w:val="-2"/>
          <w:sz w:val="32"/>
          <w:szCs w:val="32"/>
          <w:highlight w:val="none"/>
        </w:rPr>
        <w:t xml:space="preserve">条 </w:t>
      </w:r>
      <w:r>
        <w:rPr>
          <w:rFonts w:hint="eastAsia" w:ascii="仿宋_GB2312" w:hAnsi="仿宋_GB2312" w:eastAsia="仿宋_GB2312" w:cs="仿宋_GB2312"/>
          <w:color w:val="auto"/>
          <w:spacing w:val="-2"/>
          <w:sz w:val="32"/>
          <w:szCs w:val="32"/>
          <w:highlight w:val="none"/>
        </w:rPr>
        <w:t xml:space="preserve"> 基层中医药高级职称</w:t>
      </w:r>
      <w:r>
        <w:rPr>
          <w:rFonts w:hint="eastAsia" w:ascii="仿宋_GB2312" w:hAnsi="仿宋_GB2312" w:eastAsia="仿宋_GB2312" w:cs="仿宋_GB2312"/>
          <w:color w:val="auto"/>
          <w:spacing w:val="-2"/>
          <w:sz w:val="32"/>
          <w:szCs w:val="32"/>
          <w:highlight w:val="none"/>
          <w:lang w:val="en-US" w:eastAsia="zh-CN"/>
        </w:rPr>
        <w:t>申报人</w:t>
      </w:r>
      <w:r>
        <w:rPr>
          <w:rFonts w:hint="eastAsia" w:ascii="仿宋_GB2312" w:hAnsi="仿宋_GB2312" w:eastAsia="仿宋_GB2312" w:cs="仿宋_GB2312"/>
          <w:color w:val="auto"/>
          <w:spacing w:val="-2"/>
          <w:sz w:val="32"/>
          <w:szCs w:val="32"/>
          <w:highlight w:val="none"/>
        </w:rPr>
        <w:t>员</w:t>
      </w:r>
      <w:r>
        <w:rPr>
          <w:rFonts w:hint="eastAsia" w:ascii="仿宋_GB2312" w:hAnsi="仿宋_GB2312" w:eastAsia="仿宋_GB2312" w:cs="仿宋_GB2312"/>
          <w:color w:val="auto"/>
          <w:spacing w:val="-2"/>
          <w:sz w:val="32"/>
          <w:szCs w:val="32"/>
          <w:highlight w:val="none"/>
          <w:lang w:eastAsia="zh-CN"/>
        </w:rPr>
        <w:t>必</w:t>
      </w:r>
      <w:r>
        <w:rPr>
          <w:rFonts w:hint="eastAsia" w:ascii="仿宋_GB2312" w:hAnsi="仿宋_GB2312" w:eastAsia="仿宋_GB2312" w:cs="仿宋_GB2312"/>
          <w:color w:val="auto"/>
          <w:spacing w:val="-2"/>
          <w:sz w:val="32"/>
          <w:szCs w:val="32"/>
          <w:highlight w:val="none"/>
        </w:rPr>
        <w:t>须参加答辩。</w:t>
      </w:r>
    </w:p>
    <w:p>
      <w:pPr>
        <w:pStyle w:val="2"/>
        <w:keepNext w:val="0"/>
        <w:keepLines w:val="0"/>
        <w:pageBreakBefore w:val="0"/>
        <w:kinsoku/>
        <w:topLinePunct w:val="0"/>
        <w:autoSpaceDE/>
        <w:autoSpaceDN/>
        <w:bidi w:val="0"/>
        <w:spacing w:after="0" w:line="576" w:lineRule="exact"/>
        <w:ind w:left="0" w:leftChars="0" w:firstLine="632"/>
        <w:textAlignment w:val="auto"/>
        <w:rPr>
          <w:color w:val="auto"/>
          <w:highlight w:val="none"/>
        </w:rPr>
      </w:pPr>
      <w:r>
        <w:rPr>
          <w:rFonts w:hint="eastAsia" w:ascii="黑体" w:hAnsi="黑体" w:eastAsia="黑体"/>
          <w:color w:val="auto"/>
          <w:spacing w:val="-2"/>
          <w:sz w:val="32"/>
          <w:szCs w:val="32"/>
          <w:highlight w:val="none"/>
        </w:rPr>
        <w:t>第十</w:t>
      </w:r>
      <w:r>
        <w:rPr>
          <w:rFonts w:hint="eastAsia" w:ascii="黑体" w:hAnsi="黑体" w:eastAsia="黑体"/>
          <w:color w:val="auto"/>
          <w:spacing w:val="-2"/>
          <w:sz w:val="32"/>
          <w:szCs w:val="32"/>
          <w:highlight w:val="none"/>
          <w:lang w:val="en-US" w:eastAsia="zh-CN"/>
        </w:rPr>
        <w:t>八</w:t>
      </w:r>
      <w:r>
        <w:rPr>
          <w:rFonts w:hint="eastAsia" w:ascii="黑体" w:hAnsi="黑体" w:eastAsia="黑体"/>
          <w:color w:val="auto"/>
          <w:spacing w:val="-2"/>
          <w:sz w:val="32"/>
          <w:szCs w:val="32"/>
          <w:highlight w:val="none"/>
        </w:rPr>
        <w:t>条</w:t>
      </w:r>
      <w:r>
        <w:rPr>
          <w:rFonts w:hint="eastAsia" w:ascii="仿宋_GB2312" w:hAnsi="仿宋_GB2312" w:eastAsia="仿宋_GB2312" w:cs="仿宋_GB2312"/>
          <w:color w:val="auto"/>
          <w:sz w:val="32"/>
          <w:szCs w:val="32"/>
          <w:highlight w:val="none"/>
        </w:rPr>
        <w:t xml:space="preserve">  答辩着重考察答辩人员掌握中医药理论情况，以及运用中医药理论指导诊疗常见病、多发病、疑难病症的临床能力。</w:t>
      </w:r>
    </w:p>
    <w:p>
      <w:pPr>
        <w:keepNext w:val="0"/>
        <w:keepLines w:val="0"/>
        <w:pageBreakBefore w:val="0"/>
        <w:kinsoku/>
        <w:overflowPunct w:val="0"/>
        <w:topLinePunct w:val="0"/>
        <w:autoSpaceDE/>
        <w:autoSpaceDN/>
        <w:bidi w:val="0"/>
        <w:spacing w:line="576" w:lineRule="exact"/>
        <w:jc w:val="center"/>
        <w:textAlignment w:val="auto"/>
        <w:rPr>
          <w:rFonts w:hint="eastAsia" w:ascii="黑体" w:hAnsi="黑体" w:eastAsia="黑体"/>
          <w:color w:val="auto"/>
          <w:spacing w:val="-2"/>
          <w:sz w:val="32"/>
          <w:szCs w:val="32"/>
          <w:highlight w:val="none"/>
        </w:rPr>
      </w:pPr>
    </w:p>
    <w:p>
      <w:pPr>
        <w:keepNext w:val="0"/>
        <w:keepLines w:val="0"/>
        <w:pageBreakBefore w:val="0"/>
        <w:kinsoku/>
        <w:overflowPunct w:val="0"/>
        <w:topLinePunct w:val="0"/>
        <w:autoSpaceDE/>
        <w:autoSpaceDN/>
        <w:bidi w:val="0"/>
        <w:spacing w:line="576" w:lineRule="exact"/>
        <w:jc w:val="center"/>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第五章  附  则</w:t>
      </w:r>
    </w:p>
    <w:p>
      <w:pPr>
        <w:keepNext w:val="0"/>
        <w:keepLines w:val="0"/>
        <w:pageBreakBefore w:val="0"/>
        <w:kinsoku/>
        <w:overflowPunct w:val="0"/>
        <w:topLinePunct w:val="0"/>
        <w:autoSpaceDE/>
        <w:autoSpaceDN/>
        <w:bidi w:val="0"/>
        <w:adjustRightInd w:val="0"/>
        <w:snapToGrid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w:t>
      </w:r>
      <w:r>
        <w:rPr>
          <w:rFonts w:hint="eastAsia" w:ascii="黑体" w:hAnsi="黑体" w:eastAsia="黑体"/>
          <w:color w:val="auto"/>
          <w:spacing w:val="-2"/>
          <w:sz w:val="32"/>
          <w:szCs w:val="32"/>
          <w:highlight w:val="none"/>
          <w:lang w:val="en-US" w:eastAsia="zh-CN"/>
        </w:rPr>
        <w:t>十九</w:t>
      </w:r>
      <w:r>
        <w:rPr>
          <w:rFonts w:hint="eastAsia" w:ascii="黑体" w:hAnsi="黑体" w:eastAsia="黑体"/>
          <w:color w:val="auto"/>
          <w:spacing w:val="-2"/>
          <w:sz w:val="32"/>
          <w:szCs w:val="32"/>
          <w:highlight w:val="none"/>
        </w:rPr>
        <w:t>条</w:t>
      </w:r>
      <w:r>
        <w:rPr>
          <w:rFonts w:hint="eastAsia" w:ascii="仿宋_GB2312" w:hAnsi="仿宋_GB2312" w:eastAsia="仿宋_GB2312" w:cs="仿宋_GB2312"/>
          <w:color w:val="auto"/>
          <w:spacing w:val="-2"/>
          <w:sz w:val="32"/>
          <w:szCs w:val="32"/>
          <w:highlight w:val="none"/>
        </w:rPr>
        <w:t xml:space="preserve">  本条件为基层中医药专业技术人员高级职称评审的基本申报条件</w:t>
      </w:r>
      <w:r>
        <w:rPr>
          <w:rFonts w:hint="eastAsia" w:ascii="仿宋_GB2312" w:hAnsi="仿宋_GB2312" w:eastAsia="仿宋_GB2312" w:cs="仿宋_GB2312"/>
          <w:color w:val="auto"/>
          <w:spacing w:val="-2"/>
          <w:sz w:val="32"/>
          <w:szCs w:val="32"/>
          <w:highlight w:val="none"/>
          <w:lang w:eastAsia="zh-CN"/>
        </w:rPr>
        <w:t>，不作为评审结果的直接依据。</w:t>
      </w:r>
      <w:r>
        <w:rPr>
          <w:rFonts w:hint="eastAsia" w:ascii="仿宋_GB2312" w:hAnsi="仿宋_GB2312" w:eastAsia="仿宋_GB2312" w:cs="仿宋_GB2312"/>
          <w:color w:val="auto"/>
          <w:spacing w:val="-2"/>
          <w:sz w:val="32"/>
          <w:szCs w:val="32"/>
          <w:highlight w:val="none"/>
        </w:rPr>
        <w:t>各地、各单位可根据工作需要，制定不低于本条件的申报评审条件。</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第二十条</w:t>
      </w:r>
      <w:r>
        <w:rPr>
          <w:rFonts w:hint="eastAsia" w:ascii="仿宋_GB2312" w:hAnsi="仿宋_GB2312" w:eastAsia="仿宋_GB2312" w:cs="仿宋_GB2312"/>
          <w:color w:val="auto"/>
          <w:spacing w:val="-2"/>
          <w:sz w:val="32"/>
          <w:szCs w:val="32"/>
          <w:highlight w:val="none"/>
        </w:rPr>
        <w:t xml:space="preserve">  与本条件相关的材料要求、若干问题说明等见附录。</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olor w:val="auto"/>
          <w:spacing w:val="-2"/>
          <w:sz w:val="32"/>
          <w:szCs w:val="32"/>
          <w:highlight w:val="none"/>
        </w:rPr>
        <w:t>第二十</w:t>
      </w:r>
      <w:r>
        <w:rPr>
          <w:rFonts w:hint="eastAsia" w:ascii="黑体" w:hAnsi="黑体" w:eastAsia="黑体"/>
          <w:color w:val="auto"/>
          <w:spacing w:val="-2"/>
          <w:sz w:val="32"/>
          <w:szCs w:val="32"/>
          <w:highlight w:val="none"/>
          <w:lang w:val="en-US" w:eastAsia="zh-CN"/>
        </w:rPr>
        <w:t>一</w:t>
      </w:r>
      <w:r>
        <w:rPr>
          <w:rFonts w:hint="eastAsia" w:ascii="黑体" w:hAnsi="黑体" w:eastAsia="黑体"/>
          <w:color w:val="auto"/>
          <w:spacing w:val="-2"/>
          <w:sz w:val="32"/>
          <w:szCs w:val="32"/>
          <w:highlight w:val="none"/>
        </w:rPr>
        <w:t xml:space="preserve">条  </w:t>
      </w:r>
      <w:r>
        <w:rPr>
          <w:rFonts w:hint="eastAsia" w:ascii="仿宋_GB2312" w:hAnsi="仿宋_GB2312" w:eastAsia="仿宋_GB2312" w:cs="仿宋_GB2312"/>
          <w:color w:val="auto"/>
          <w:sz w:val="32"/>
          <w:szCs w:val="32"/>
          <w:highlight w:val="none"/>
        </w:rPr>
        <w:t>2020年10月26日人力资源社会保障厅、省中医药局印发的《四川省基层中医药专业技术人员高级职称申报评审基本条件》同时废止。此前规定与本条件不一致的，以本条件为准。本条件未尽事宜，按国家和省现行政策执行。</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olor w:val="auto"/>
          <w:spacing w:val="-2"/>
          <w:sz w:val="32"/>
          <w:szCs w:val="32"/>
          <w:highlight w:val="none"/>
        </w:rPr>
        <w:t>第二十</w:t>
      </w:r>
      <w:r>
        <w:rPr>
          <w:rFonts w:hint="eastAsia" w:ascii="黑体" w:hAnsi="黑体" w:eastAsia="黑体"/>
          <w:color w:val="auto"/>
          <w:spacing w:val="-2"/>
          <w:sz w:val="32"/>
          <w:szCs w:val="32"/>
          <w:highlight w:val="none"/>
          <w:lang w:val="en-US" w:eastAsia="zh-CN"/>
        </w:rPr>
        <w:t>二</w:t>
      </w:r>
      <w:r>
        <w:rPr>
          <w:rFonts w:hint="eastAsia" w:ascii="黑体" w:hAnsi="黑体" w:eastAsia="黑体"/>
          <w:color w:val="auto"/>
          <w:spacing w:val="-2"/>
          <w:sz w:val="32"/>
          <w:szCs w:val="32"/>
          <w:highlight w:val="none"/>
        </w:rPr>
        <w:t>条</w:t>
      </w:r>
      <w:r>
        <w:rPr>
          <w:rFonts w:hint="eastAsia" w:ascii="仿宋_GB2312" w:hAnsi="仿宋_GB2312" w:eastAsia="仿宋_GB2312" w:cs="仿宋_GB2312"/>
          <w:color w:val="auto"/>
          <w:spacing w:val="-2"/>
          <w:sz w:val="32"/>
          <w:szCs w:val="32"/>
          <w:highlight w:val="none"/>
        </w:rPr>
        <w:t xml:space="preserve">  </w:t>
      </w:r>
      <w:r>
        <w:rPr>
          <w:rFonts w:hint="eastAsia" w:ascii="仿宋_GB2312" w:hAnsi="仿宋_GB2312" w:eastAsia="仿宋_GB2312" w:cs="仿宋_GB2312"/>
          <w:color w:val="auto"/>
          <w:sz w:val="32"/>
          <w:szCs w:val="32"/>
          <w:highlight w:val="none"/>
        </w:rPr>
        <w:t>本条件由省中医药局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人力资源社会保障厅按职责分工解释。</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p>
    <w:p>
      <w:pPr>
        <w:keepNext w:val="0"/>
        <w:keepLines w:val="0"/>
        <w:pageBreakBefore w:val="0"/>
        <w:kinsoku/>
        <w:overflowPunct w:val="0"/>
        <w:topLinePunct w:val="0"/>
        <w:autoSpaceDE/>
        <w:autoSpaceDN/>
        <w:bidi w:val="0"/>
        <w:spacing w:line="576" w:lineRule="exact"/>
        <w:jc w:val="center"/>
        <w:textAlignment w:val="auto"/>
        <w:rPr>
          <w:rFonts w:ascii="小标宋" w:hAnsi="小标宋" w:eastAsia="小标宋" w:cs="小标宋"/>
          <w:color w:val="auto"/>
          <w:spacing w:val="-2"/>
          <w:sz w:val="44"/>
          <w:szCs w:val="44"/>
          <w:highlight w:val="none"/>
        </w:rPr>
      </w:pPr>
      <w:r>
        <w:rPr>
          <w:rFonts w:hint="eastAsia" w:ascii="仿宋_GB2312" w:hAnsi="仿宋_GB2312" w:eastAsia="仿宋_GB2312" w:cs="仿宋_GB2312"/>
          <w:color w:val="auto"/>
          <w:spacing w:val="-2"/>
          <w:sz w:val="32"/>
          <w:szCs w:val="32"/>
          <w:highlight w:val="none"/>
        </w:rPr>
        <w:br w:type="page"/>
      </w:r>
    </w:p>
    <w:p>
      <w:pPr>
        <w:keepNext w:val="0"/>
        <w:keepLines w:val="0"/>
        <w:pageBreakBefore w:val="0"/>
        <w:kinsoku/>
        <w:overflowPunct w:val="0"/>
        <w:topLinePunct w:val="0"/>
        <w:autoSpaceDE/>
        <w:autoSpaceDN/>
        <w:bidi w:val="0"/>
        <w:spacing w:line="576" w:lineRule="exact"/>
        <w:jc w:val="center"/>
        <w:textAlignment w:val="auto"/>
        <w:rPr>
          <w:rFonts w:hint="eastAsia" w:ascii="黑体" w:hAnsi="黑体" w:eastAsia="黑体" w:cs="黑体"/>
          <w:color w:val="auto"/>
          <w:spacing w:val="-2"/>
          <w:sz w:val="44"/>
          <w:szCs w:val="44"/>
          <w:highlight w:val="none"/>
        </w:rPr>
      </w:pPr>
      <w:r>
        <w:rPr>
          <w:rFonts w:hint="eastAsia" w:ascii="黑体" w:hAnsi="黑体" w:eastAsia="黑体" w:cs="黑体"/>
          <w:color w:val="auto"/>
          <w:spacing w:val="-2"/>
          <w:sz w:val="44"/>
          <w:szCs w:val="44"/>
          <w:highlight w:val="none"/>
        </w:rPr>
        <w:t>附  录</w:t>
      </w:r>
    </w:p>
    <w:p>
      <w:pPr>
        <w:keepNext w:val="0"/>
        <w:keepLines w:val="0"/>
        <w:pageBreakBefore w:val="0"/>
        <w:kinsoku/>
        <w:overflowPunct w:val="0"/>
        <w:topLinePunct w:val="0"/>
        <w:autoSpaceDE/>
        <w:autoSpaceDN/>
        <w:bidi w:val="0"/>
        <w:spacing w:line="576" w:lineRule="exact"/>
        <w:jc w:val="center"/>
        <w:textAlignment w:val="auto"/>
        <w:rPr>
          <w:rFonts w:ascii="小标宋" w:hAnsi="小标宋" w:eastAsia="小标宋" w:cs="小标宋"/>
          <w:color w:val="auto"/>
          <w:spacing w:val="-2"/>
          <w:sz w:val="44"/>
          <w:szCs w:val="44"/>
          <w:highlight w:val="none"/>
        </w:rPr>
      </w:pPr>
    </w:p>
    <w:p>
      <w:pPr>
        <w:keepNext w:val="0"/>
        <w:keepLines w:val="0"/>
        <w:pageBreakBefore w:val="0"/>
        <w:kinsoku/>
        <w:overflowPunct w:val="0"/>
        <w:topLinePunct w:val="0"/>
        <w:autoSpaceDE/>
        <w:autoSpaceDN/>
        <w:bidi w:val="0"/>
        <w:spacing w:line="576" w:lineRule="exact"/>
        <w:ind w:firstLine="632" w:firstLineChars="200"/>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一、有关词（语）或概念的特定解释</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（一）科技进步奖（及相应奖项)：指政府颁发的科技进步奖、成果奖、自然科学奖、国家发明奖等奖励项目。</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（二）表彰：指党委、政府授予的先进个人、劳动模范，或政府人事部门参与的系统先进工作者综合表彰等。</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（三）省（部)级：指国家各部委和省级政府。</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（四）市（厅)级：指省辖市和省级业务主管厅（局)。</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（五）基层医疗卫生机构：指县级及以下医疗卫生机构（不含三级医疗卫生机构和成都市所辖区的区级医疗卫生机构）。</w:t>
      </w:r>
    </w:p>
    <w:p>
      <w:pPr>
        <w:keepNext w:val="0"/>
        <w:keepLines w:val="0"/>
        <w:pageBreakBefore w:val="0"/>
        <w:kinsoku/>
        <w:overflowPunct w:val="0"/>
        <w:topLinePunct w:val="0"/>
        <w:autoSpaceDE/>
        <w:autoSpaceDN/>
        <w:bidi w:val="0"/>
        <w:spacing w:line="576" w:lineRule="exact"/>
        <w:ind w:firstLine="632" w:firstLineChars="200"/>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二、本条件若干问题的说明</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（一）学历（学位)。应具备国家教育和中医药行政主管部门认可的学历，各种培训班颁发的结业证书或专业证书不得作为申报专业技术资格的学历依据。</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（二）任职资历计算方法。从现专业技术职务聘任之日起计算至申报当年年底。</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（三）基层中医药副高级职称可直接申报基层中医药正高级职称，但不可直接申报中医药正高级职称。</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（四）本条件中所涉及的奖项、表彰、荣誉、称号等，均以个人奖励证书或文件为准。</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（五）本条件所提“市”指设区市，不含县级市。</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（六）学术论文。</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有效期刊是指能在中华人民共和国国家新闻出版广电总局网站（http://www.gapp.gov.cn/）查询到、公开发行，且专业性和学术性较强的期刊。</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有效论文是指作为第一作者发表在有效期刊上，且正文字数不少于1500字的论文。文章清样、刊用通知、增刊不能认定为有效论文。</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本人主编或副主编公开出版本专业专著、教材1部著作代表2篇论文；其本人参加出版本专业专著、教材（本人撰写2万字以上）1部著作代表1篇论文。</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（七）科普文章。</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科普文章是把已有的科学知识、科学方法，以及融于其中的科学思想和精神，通过文字的方式表达出来，而使之为读者所能理解的文章。</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科普文章须具备以下特点：（1）科学性。选题科学，论据确凿，论证合理，文字简洁准确。（2）创新性。选题要有创新性，要写别人没有写过的东西，并对今天的实际生活具有指导和借鉴作用。（3）实践性。选题必须是在科学探索活动中发现的，论据必须有实践依据，不能凭空捏造、猜测。（4）普及性。选题要有普及性，是广大人民群众所关心和希望了解的一些问题。</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（八）专题报告。</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lang w:val="en-US" w:eastAsia="zh-CN"/>
        </w:rPr>
        <w:t>1.</w:t>
      </w:r>
      <w:r>
        <w:rPr>
          <w:rFonts w:hint="eastAsia" w:ascii="仿宋_GB2312" w:hAnsi="仿宋_GB2312" w:eastAsia="仿宋_GB2312" w:cs="仿宋_GB2312"/>
          <w:color w:val="auto"/>
          <w:spacing w:val="-2"/>
          <w:sz w:val="32"/>
          <w:szCs w:val="32"/>
          <w:highlight w:val="none"/>
        </w:rPr>
        <w:t>医师。运用中医药理论指导解决本专业复杂疑难问题或常见病、多发病的经验总结。</w:t>
      </w:r>
    </w:p>
    <w:p>
      <w:pPr>
        <w:pStyle w:val="5"/>
        <w:keepNext w:val="0"/>
        <w:keepLines w:val="0"/>
        <w:pageBreakBefore w:val="0"/>
        <w:tabs>
          <w:tab w:val="left" w:pos="1418"/>
        </w:tabs>
        <w:kinsoku/>
        <w:wordWrap w:val="0"/>
        <w:topLinePunct w:val="0"/>
        <w:autoSpaceDE/>
        <w:autoSpaceDN/>
        <w:bidi w:val="0"/>
        <w:adjustRightInd w:val="0"/>
        <w:snapToGrid w:val="0"/>
        <w:spacing w:line="576" w:lineRule="exact"/>
        <w:ind w:firstLine="632" w:firstLineChars="200"/>
        <w:textAlignment w:val="auto"/>
        <w:rPr>
          <w:rFonts w:ascii="仿宋_GB2312" w:eastAsia="仿宋_GB2312"/>
          <w:bCs/>
          <w:snapToGrid w:val="0"/>
          <w:color w:val="auto"/>
          <w:kern w:val="0"/>
          <w:sz w:val="32"/>
          <w:szCs w:val="32"/>
          <w:highlight w:val="none"/>
        </w:rPr>
      </w:pPr>
      <w:r>
        <w:rPr>
          <w:rFonts w:hint="eastAsia" w:ascii="仿宋_GB2312" w:hAnsi="仿宋_GB2312" w:eastAsia="仿宋_GB2312" w:cs="仿宋_GB2312"/>
          <w:color w:val="auto"/>
          <w:spacing w:val="-2"/>
          <w:sz w:val="32"/>
          <w:szCs w:val="32"/>
          <w:highlight w:val="none"/>
          <w:lang w:val="en-US" w:eastAsia="zh-CN"/>
        </w:rPr>
        <w:t>2.</w:t>
      </w:r>
      <w:r>
        <w:rPr>
          <w:rFonts w:hint="eastAsia" w:ascii="仿宋_GB2312" w:hAnsi="仿宋_GB2312" w:eastAsia="仿宋_GB2312" w:cs="仿宋_GB2312"/>
          <w:color w:val="auto"/>
          <w:spacing w:val="-2"/>
          <w:sz w:val="32"/>
          <w:szCs w:val="32"/>
          <w:highlight w:val="none"/>
        </w:rPr>
        <w:t>药师。就提高中医药临床疗效、减少不良反应，确保临床用药安全、有效、合理</w:t>
      </w:r>
      <w:r>
        <w:rPr>
          <w:rFonts w:hint="eastAsia" w:ascii="仿宋_GB2312" w:eastAsia="仿宋_GB2312"/>
          <w:bCs/>
          <w:snapToGrid w:val="0"/>
          <w:color w:val="auto"/>
          <w:kern w:val="0"/>
          <w:sz w:val="32"/>
          <w:szCs w:val="32"/>
          <w:highlight w:val="none"/>
        </w:rPr>
        <w:t>等方面开展的监测、调查和分析。</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lang w:val="en-US" w:eastAsia="zh-CN"/>
        </w:rPr>
        <w:t>3.</w:t>
      </w:r>
      <w:r>
        <w:rPr>
          <w:rFonts w:hint="eastAsia" w:ascii="仿宋_GB2312" w:hAnsi="仿宋_GB2312" w:eastAsia="仿宋_GB2312" w:cs="仿宋_GB2312"/>
          <w:color w:val="auto"/>
          <w:spacing w:val="-2"/>
          <w:sz w:val="32"/>
          <w:szCs w:val="32"/>
          <w:highlight w:val="none"/>
        </w:rPr>
        <w:t>护师。运用中医药理论指导的护理能力和技术水平，以及对疑难病或常见病、多发病实施护理的经验总结。</w:t>
      </w:r>
    </w:p>
    <w:p>
      <w:pPr>
        <w:pStyle w:val="5"/>
        <w:keepNext w:val="0"/>
        <w:keepLines w:val="0"/>
        <w:pageBreakBefore w:val="0"/>
        <w:tabs>
          <w:tab w:val="left" w:pos="1418"/>
        </w:tabs>
        <w:kinsoku/>
        <w:wordWrap w:val="0"/>
        <w:topLinePunct w:val="0"/>
        <w:autoSpaceDE/>
        <w:autoSpaceDN/>
        <w:bidi w:val="0"/>
        <w:adjustRightInd w:val="0"/>
        <w:snapToGrid w:val="0"/>
        <w:spacing w:line="576" w:lineRule="exact"/>
        <w:ind w:firstLine="640" w:firstLineChars="200"/>
        <w:textAlignment w:val="auto"/>
        <w:rPr>
          <w:rFonts w:ascii="仿宋_GB2312" w:eastAsia="仿宋_GB2312"/>
          <w:bCs/>
          <w:snapToGrid w:val="0"/>
          <w:color w:val="auto"/>
          <w:kern w:val="0"/>
          <w:sz w:val="32"/>
          <w:szCs w:val="32"/>
          <w:highlight w:val="none"/>
        </w:rPr>
      </w:pPr>
      <w:r>
        <w:rPr>
          <w:rFonts w:hint="eastAsia" w:ascii="仿宋_GB2312" w:eastAsia="仿宋_GB2312"/>
          <w:bCs/>
          <w:snapToGrid w:val="0"/>
          <w:color w:val="auto"/>
          <w:kern w:val="0"/>
          <w:sz w:val="32"/>
          <w:szCs w:val="32"/>
          <w:highlight w:val="none"/>
          <w:lang w:val="en-US" w:eastAsia="zh-CN"/>
        </w:rPr>
        <w:t>4.</w:t>
      </w:r>
      <w:r>
        <w:rPr>
          <w:rFonts w:hint="eastAsia" w:ascii="仿宋_GB2312" w:eastAsia="仿宋_GB2312"/>
          <w:bCs/>
          <w:snapToGrid w:val="0"/>
          <w:color w:val="auto"/>
          <w:kern w:val="0"/>
          <w:sz w:val="32"/>
          <w:szCs w:val="32"/>
          <w:highlight w:val="none"/>
        </w:rPr>
        <w:t>技师。使用、推广或创新本专业某项技术、方法等的分析报告。</w:t>
      </w:r>
    </w:p>
    <w:p>
      <w:pPr>
        <w:pStyle w:val="5"/>
        <w:keepNext w:val="0"/>
        <w:keepLines w:val="0"/>
        <w:pageBreakBefore w:val="0"/>
        <w:tabs>
          <w:tab w:val="left" w:pos="1418"/>
        </w:tabs>
        <w:kinsoku/>
        <w:wordWrap w:val="0"/>
        <w:topLinePunct w:val="0"/>
        <w:autoSpaceDE/>
        <w:autoSpaceDN/>
        <w:bidi w:val="0"/>
        <w:adjustRightInd w:val="0"/>
        <w:snapToGrid w:val="0"/>
        <w:spacing w:line="576" w:lineRule="exact"/>
        <w:ind w:firstLine="640" w:firstLineChars="200"/>
        <w:textAlignment w:val="auto"/>
        <w:rPr>
          <w:rFonts w:ascii="仿宋_GB2312" w:eastAsia="仿宋_GB2312"/>
          <w:bCs/>
          <w:snapToGrid w:val="0"/>
          <w:color w:val="auto"/>
          <w:kern w:val="0"/>
          <w:sz w:val="32"/>
          <w:szCs w:val="32"/>
          <w:highlight w:val="none"/>
        </w:rPr>
      </w:pPr>
      <w:r>
        <w:rPr>
          <w:rFonts w:hint="eastAsia" w:ascii="仿宋_GB2312" w:eastAsia="仿宋_GB2312"/>
          <w:bCs/>
          <w:snapToGrid w:val="0"/>
          <w:color w:val="auto"/>
          <w:kern w:val="0"/>
          <w:sz w:val="32"/>
          <w:szCs w:val="32"/>
          <w:highlight w:val="none"/>
          <w:lang w:val="en-US" w:eastAsia="zh-CN"/>
        </w:rPr>
        <w:t>5.</w:t>
      </w:r>
      <w:r>
        <w:rPr>
          <w:rFonts w:hint="eastAsia" w:ascii="仿宋_GB2312" w:eastAsia="仿宋_GB2312"/>
          <w:bCs/>
          <w:snapToGrid w:val="0"/>
          <w:color w:val="auto"/>
          <w:kern w:val="0"/>
          <w:sz w:val="32"/>
          <w:szCs w:val="32"/>
          <w:highlight w:val="none"/>
        </w:rPr>
        <w:t>中医药管理专业。主持或参与开展某项中医药管理案例或项目的分析报告。</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p>
    <w:p>
      <w:pPr>
        <w:pStyle w:val="2"/>
        <w:keepNext w:val="0"/>
        <w:keepLines w:val="0"/>
        <w:pageBreakBefore w:val="0"/>
        <w:kinsoku/>
        <w:topLinePunct w:val="0"/>
        <w:autoSpaceDE/>
        <w:autoSpaceDN/>
        <w:bidi w:val="0"/>
        <w:spacing w:after="0" w:line="576" w:lineRule="exact"/>
        <w:ind w:firstLine="632"/>
        <w:textAlignment w:val="auto"/>
        <w:rPr>
          <w:rFonts w:ascii="仿宋_GB2312" w:hAnsi="仿宋_GB2312" w:eastAsia="仿宋_GB2312" w:cs="仿宋_GB2312"/>
          <w:color w:val="auto"/>
          <w:spacing w:val="-2"/>
          <w:sz w:val="32"/>
          <w:szCs w:val="32"/>
          <w:highlight w:val="none"/>
        </w:rPr>
      </w:pPr>
    </w:p>
    <w:p>
      <w:pPr>
        <w:pStyle w:val="2"/>
        <w:keepNext w:val="0"/>
        <w:keepLines w:val="0"/>
        <w:pageBreakBefore w:val="0"/>
        <w:kinsoku/>
        <w:topLinePunct w:val="0"/>
        <w:autoSpaceDE/>
        <w:autoSpaceDN/>
        <w:bidi w:val="0"/>
        <w:spacing w:after="0" w:line="576" w:lineRule="exact"/>
        <w:ind w:firstLine="632"/>
        <w:textAlignment w:val="auto"/>
        <w:rPr>
          <w:rFonts w:ascii="仿宋_GB2312" w:hAnsi="仿宋_GB2312" w:eastAsia="仿宋_GB2312" w:cs="仿宋_GB2312"/>
          <w:color w:val="auto"/>
          <w:spacing w:val="-2"/>
          <w:sz w:val="32"/>
          <w:szCs w:val="32"/>
          <w:highlight w:val="none"/>
        </w:rPr>
      </w:pPr>
    </w:p>
    <w:p>
      <w:pPr>
        <w:pStyle w:val="2"/>
        <w:keepNext w:val="0"/>
        <w:keepLines w:val="0"/>
        <w:pageBreakBefore w:val="0"/>
        <w:kinsoku/>
        <w:topLinePunct w:val="0"/>
        <w:autoSpaceDE/>
        <w:autoSpaceDN/>
        <w:bidi w:val="0"/>
        <w:spacing w:after="0" w:line="576" w:lineRule="exact"/>
        <w:ind w:firstLine="632"/>
        <w:textAlignment w:val="auto"/>
        <w:rPr>
          <w:rFonts w:ascii="仿宋_GB2312" w:hAnsi="仿宋_GB2312" w:eastAsia="仿宋_GB2312" w:cs="仿宋_GB2312"/>
          <w:color w:val="auto"/>
          <w:spacing w:val="-2"/>
          <w:sz w:val="32"/>
          <w:szCs w:val="32"/>
          <w:highlight w:val="none"/>
        </w:rPr>
      </w:pPr>
    </w:p>
    <w:p>
      <w:pPr>
        <w:pStyle w:val="2"/>
        <w:keepNext w:val="0"/>
        <w:keepLines w:val="0"/>
        <w:pageBreakBefore w:val="0"/>
        <w:kinsoku/>
        <w:topLinePunct w:val="0"/>
        <w:autoSpaceDE/>
        <w:autoSpaceDN/>
        <w:bidi w:val="0"/>
        <w:spacing w:after="0" w:line="576" w:lineRule="exact"/>
        <w:ind w:firstLine="632"/>
        <w:textAlignment w:val="auto"/>
        <w:rPr>
          <w:rFonts w:ascii="仿宋_GB2312" w:hAnsi="仿宋_GB2312" w:eastAsia="仿宋_GB2312" w:cs="仿宋_GB2312"/>
          <w:color w:val="auto"/>
          <w:spacing w:val="-2"/>
          <w:sz w:val="32"/>
          <w:szCs w:val="32"/>
          <w:highlight w:val="none"/>
        </w:rPr>
      </w:pPr>
    </w:p>
    <w:p>
      <w:pPr>
        <w:pStyle w:val="2"/>
        <w:keepNext w:val="0"/>
        <w:keepLines w:val="0"/>
        <w:pageBreakBefore w:val="0"/>
        <w:kinsoku/>
        <w:topLinePunct w:val="0"/>
        <w:autoSpaceDE/>
        <w:autoSpaceDN/>
        <w:bidi w:val="0"/>
        <w:spacing w:after="0" w:line="576" w:lineRule="exact"/>
        <w:ind w:firstLine="632"/>
        <w:textAlignment w:val="auto"/>
        <w:rPr>
          <w:rFonts w:ascii="仿宋_GB2312" w:hAnsi="仿宋_GB2312" w:eastAsia="仿宋_GB2312" w:cs="仿宋_GB2312"/>
          <w:color w:val="auto"/>
          <w:spacing w:val="-2"/>
          <w:sz w:val="32"/>
          <w:szCs w:val="32"/>
          <w:highlight w:val="none"/>
        </w:rPr>
      </w:pPr>
    </w:p>
    <w:p>
      <w:pPr>
        <w:pStyle w:val="2"/>
        <w:keepNext w:val="0"/>
        <w:keepLines w:val="0"/>
        <w:pageBreakBefore w:val="0"/>
        <w:kinsoku/>
        <w:topLinePunct w:val="0"/>
        <w:autoSpaceDE/>
        <w:autoSpaceDN/>
        <w:bidi w:val="0"/>
        <w:spacing w:after="0" w:line="576" w:lineRule="exact"/>
        <w:ind w:firstLine="632"/>
        <w:textAlignment w:val="auto"/>
        <w:rPr>
          <w:rFonts w:ascii="仿宋_GB2312" w:hAnsi="仿宋_GB2312" w:eastAsia="仿宋_GB2312" w:cs="仿宋_GB2312"/>
          <w:color w:val="auto"/>
          <w:spacing w:val="-2"/>
          <w:sz w:val="32"/>
          <w:szCs w:val="32"/>
          <w:highlight w:val="none"/>
        </w:rPr>
      </w:pPr>
    </w:p>
    <w:p>
      <w:pPr>
        <w:pStyle w:val="2"/>
        <w:keepNext w:val="0"/>
        <w:keepLines w:val="0"/>
        <w:pageBreakBefore w:val="0"/>
        <w:kinsoku/>
        <w:topLinePunct w:val="0"/>
        <w:autoSpaceDE/>
        <w:autoSpaceDN/>
        <w:bidi w:val="0"/>
        <w:spacing w:after="0" w:line="576" w:lineRule="exact"/>
        <w:ind w:firstLine="632"/>
        <w:textAlignment w:val="auto"/>
        <w:rPr>
          <w:rFonts w:ascii="仿宋_GB2312" w:hAnsi="仿宋_GB2312" w:eastAsia="仿宋_GB2312" w:cs="仿宋_GB2312"/>
          <w:color w:val="auto"/>
          <w:spacing w:val="-2"/>
          <w:sz w:val="32"/>
          <w:szCs w:val="32"/>
          <w:highlight w:val="none"/>
        </w:rPr>
      </w:pPr>
    </w:p>
    <w:p>
      <w:pPr>
        <w:pStyle w:val="2"/>
        <w:keepNext w:val="0"/>
        <w:keepLines w:val="0"/>
        <w:pageBreakBefore w:val="0"/>
        <w:kinsoku/>
        <w:topLinePunct w:val="0"/>
        <w:autoSpaceDE/>
        <w:autoSpaceDN/>
        <w:bidi w:val="0"/>
        <w:spacing w:after="0" w:line="576" w:lineRule="exact"/>
        <w:ind w:firstLine="632"/>
        <w:textAlignment w:val="auto"/>
        <w:rPr>
          <w:rFonts w:ascii="仿宋_GB2312" w:hAnsi="仿宋_GB2312" w:eastAsia="仿宋_GB2312" w:cs="仿宋_GB2312"/>
          <w:color w:val="auto"/>
          <w:spacing w:val="-2"/>
          <w:sz w:val="32"/>
          <w:szCs w:val="32"/>
          <w:highlight w:val="none"/>
        </w:rPr>
      </w:pPr>
    </w:p>
    <w:p>
      <w:pPr>
        <w:pStyle w:val="2"/>
        <w:keepNext w:val="0"/>
        <w:keepLines w:val="0"/>
        <w:pageBreakBefore w:val="0"/>
        <w:kinsoku/>
        <w:topLinePunct w:val="0"/>
        <w:autoSpaceDE/>
        <w:autoSpaceDN/>
        <w:bidi w:val="0"/>
        <w:spacing w:after="0" w:line="576" w:lineRule="exact"/>
        <w:ind w:left="0" w:leftChars="0" w:firstLine="0" w:firstLineChars="0"/>
        <w:textAlignment w:val="auto"/>
        <w:rPr>
          <w:rFonts w:ascii="仿宋_GB2312" w:hAnsi="仿宋_GB2312" w:eastAsia="仿宋_GB2312" w:cs="仿宋_GB2312"/>
          <w:color w:val="auto"/>
          <w:spacing w:val="-2"/>
          <w:sz w:val="32"/>
          <w:szCs w:val="32"/>
          <w:highlight w:val="none"/>
        </w:rPr>
      </w:pPr>
    </w:p>
    <w:p>
      <w:pPr>
        <w:pStyle w:val="2"/>
        <w:keepNext w:val="0"/>
        <w:keepLines w:val="0"/>
        <w:pageBreakBefore w:val="0"/>
        <w:kinsoku/>
        <w:topLinePunct w:val="0"/>
        <w:autoSpaceDE/>
        <w:autoSpaceDN/>
        <w:bidi w:val="0"/>
        <w:spacing w:after="0" w:line="576" w:lineRule="exact"/>
        <w:ind w:left="0" w:leftChars="0" w:firstLine="0" w:firstLineChars="0"/>
        <w:textAlignment w:val="auto"/>
        <w:rPr>
          <w:rFonts w:ascii="仿宋_GB2312" w:hAnsi="仿宋_GB2312" w:eastAsia="仿宋_GB2312" w:cs="仿宋_GB2312"/>
          <w:color w:val="auto"/>
          <w:spacing w:val="-2"/>
          <w:sz w:val="32"/>
          <w:szCs w:val="32"/>
          <w:highlight w:val="none"/>
        </w:rPr>
      </w:pPr>
    </w:p>
    <w:p>
      <w:pPr>
        <w:pStyle w:val="2"/>
        <w:ind w:left="0" w:leftChars="0" w:firstLine="0" w:firstLineChars="0"/>
        <w:rPr>
          <w:rFonts w:ascii="仿宋_GB2312" w:hAnsi="仿宋_GB2312" w:eastAsia="仿宋_GB2312" w:cs="仿宋_GB2312"/>
          <w:color w:val="auto"/>
          <w:spacing w:val="-2"/>
          <w:sz w:val="32"/>
          <w:szCs w:val="32"/>
          <w:highlight w:val="none"/>
        </w:rPr>
      </w:pPr>
    </w:p>
    <w:p>
      <w:pPr>
        <w:pStyle w:val="2"/>
        <w:ind w:left="0" w:leftChars="0" w:firstLine="0" w:firstLineChars="0"/>
        <w:rPr>
          <w:rFonts w:ascii="仿宋_GB2312" w:hAnsi="仿宋_GB2312" w:eastAsia="仿宋_GB2312" w:cs="仿宋_GB2312"/>
          <w:color w:val="auto"/>
          <w:spacing w:val="-2"/>
          <w:sz w:val="32"/>
          <w:szCs w:val="32"/>
          <w:highlight w:val="none"/>
        </w:rPr>
        <w:sectPr>
          <w:footerReference r:id="rId3" w:type="default"/>
          <w:pgSz w:w="11906" w:h="16838"/>
          <w:pgMar w:top="2098" w:right="1474" w:bottom="1984" w:left="1587" w:header="851" w:footer="992" w:gutter="0"/>
          <w:cols w:space="0" w:num="1"/>
          <w:rtlGutter w:val="0"/>
          <w:docGrid w:type="lines" w:linePitch="312" w:charSpace="0"/>
        </w:sectPr>
      </w:pPr>
    </w:p>
    <w:p>
      <w:pPr>
        <w:adjustRightInd w:val="0"/>
        <w:snapToGrid w:val="0"/>
        <w:spacing w:after="120" w:afterLines="50" w:line="640" w:lineRule="exact"/>
        <w:jc w:val="center"/>
        <w:rPr>
          <w:rFonts w:ascii="Times New Roman" w:hAnsi="Times New Roman" w:eastAsia="方正小标宋简体" w:cs="Times New Roman"/>
          <w:color w:val="auto"/>
          <w:sz w:val="44"/>
          <w:szCs w:val="44"/>
          <w:highlight w:val="none"/>
        </w:rPr>
      </w:pPr>
    </w:p>
    <w:p>
      <w:pPr>
        <w:adjustRightInd w:val="0"/>
        <w:snapToGrid w:val="0"/>
        <w:spacing w:after="120" w:afterLines="50" w:line="640" w:lineRule="exact"/>
        <w:jc w:val="center"/>
        <w:rPr>
          <w:rFonts w:ascii="Times New Roman" w:hAnsi="Times New Roman" w:eastAsia="方正小标宋简体" w:cs="Times New Roman"/>
          <w:color w:val="auto"/>
          <w:sz w:val="44"/>
          <w:szCs w:val="44"/>
          <w:highlight w:val="none"/>
        </w:rPr>
      </w:pPr>
      <w:r>
        <w:rPr>
          <w:rFonts w:ascii="Times New Roman" w:hAnsi="Times New Roman" w:eastAsia="方正小标宋简体" w:cs="Times New Roman"/>
          <w:color w:val="auto"/>
          <w:sz w:val="44"/>
          <w:szCs w:val="44"/>
          <w:highlight w:val="none"/>
        </w:rPr>
        <w:t>中医药高级职称评审临床工作量要求</w:t>
      </w:r>
      <w:r>
        <w:rPr>
          <w:rFonts w:hint="eastAsia" w:ascii="Times New Roman" w:hAnsi="Times New Roman" w:eastAsia="方正小标宋简体" w:cs="Times New Roman"/>
          <w:color w:val="auto"/>
          <w:sz w:val="44"/>
          <w:szCs w:val="44"/>
          <w:highlight w:val="none"/>
        </w:rPr>
        <w:t>（医师类）</w:t>
      </w:r>
    </w:p>
    <w:tbl>
      <w:tblPr>
        <w:tblStyle w:val="11"/>
        <w:tblW w:w="14208" w:type="dxa"/>
        <w:jc w:val="center"/>
        <w:tblLayout w:type="fixed"/>
        <w:tblCellMar>
          <w:top w:w="0" w:type="dxa"/>
          <w:left w:w="108" w:type="dxa"/>
          <w:bottom w:w="0" w:type="dxa"/>
          <w:right w:w="108" w:type="dxa"/>
        </w:tblCellMar>
      </w:tblPr>
      <w:tblGrid>
        <w:gridCol w:w="735"/>
        <w:gridCol w:w="1437"/>
        <w:gridCol w:w="2443"/>
        <w:gridCol w:w="1639"/>
        <w:gridCol w:w="1980"/>
        <w:gridCol w:w="2447"/>
        <w:gridCol w:w="1605"/>
        <w:gridCol w:w="1922"/>
      </w:tblGrid>
      <w:tr>
        <w:tblPrEx>
          <w:tblCellMar>
            <w:top w:w="0" w:type="dxa"/>
            <w:left w:w="108" w:type="dxa"/>
            <w:bottom w:w="0" w:type="dxa"/>
            <w:right w:w="108" w:type="dxa"/>
          </w:tblCellMar>
        </w:tblPrEx>
        <w:trPr>
          <w:trHeight w:val="66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Times New Roman"/>
                <w:color w:val="auto"/>
                <w:sz w:val="24"/>
                <w:highlight w:val="none"/>
              </w:rPr>
            </w:pPr>
            <w:r>
              <w:rPr>
                <w:rFonts w:ascii="Times New Roman" w:hAnsi="Times New Roman" w:eastAsia="黑体" w:cs="Times New Roman"/>
                <w:color w:val="auto"/>
                <w:kern w:val="0"/>
                <w:sz w:val="24"/>
                <w:highlight w:val="none"/>
                <w:lang w:bidi="ar"/>
              </w:rPr>
              <w:t>序号</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Times New Roman"/>
                <w:color w:val="auto"/>
                <w:sz w:val="24"/>
                <w:highlight w:val="none"/>
              </w:rPr>
            </w:pPr>
            <w:r>
              <w:rPr>
                <w:rFonts w:hint="eastAsia" w:ascii="Times New Roman" w:hAnsi="Times New Roman" w:eastAsia="黑体" w:cs="Times New Roman"/>
                <w:color w:val="auto"/>
                <w:kern w:val="0"/>
                <w:sz w:val="24"/>
                <w:highlight w:val="none"/>
                <w:lang w:bidi="ar"/>
              </w:rPr>
              <w:t>申报</w:t>
            </w:r>
            <w:r>
              <w:rPr>
                <w:rFonts w:ascii="Times New Roman" w:hAnsi="Times New Roman" w:eastAsia="黑体" w:cs="Times New Roman"/>
                <w:color w:val="auto"/>
                <w:kern w:val="0"/>
                <w:sz w:val="24"/>
                <w:highlight w:val="none"/>
                <w:lang w:bidi="ar"/>
              </w:rPr>
              <w:t>专业</w:t>
            </w:r>
          </w:p>
        </w:tc>
        <w:tc>
          <w:tcPr>
            <w:tcW w:w="606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Times New Roman"/>
                <w:color w:val="auto"/>
                <w:sz w:val="24"/>
                <w:highlight w:val="none"/>
              </w:rPr>
            </w:pPr>
            <w:r>
              <w:rPr>
                <w:rFonts w:ascii="Times New Roman" w:hAnsi="Times New Roman" w:eastAsia="黑体" w:cs="Times New Roman"/>
                <w:color w:val="auto"/>
                <w:kern w:val="0"/>
                <w:sz w:val="24"/>
                <w:highlight w:val="none"/>
                <w:lang w:bidi="ar"/>
              </w:rPr>
              <w:t>晋升中医药副高级职称临床工作量</w:t>
            </w:r>
          </w:p>
        </w:tc>
        <w:tc>
          <w:tcPr>
            <w:tcW w:w="59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Times New Roman"/>
                <w:color w:val="auto"/>
                <w:sz w:val="24"/>
                <w:highlight w:val="none"/>
              </w:rPr>
            </w:pPr>
            <w:r>
              <w:rPr>
                <w:rFonts w:ascii="Times New Roman" w:hAnsi="Times New Roman" w:eastAsia="黑体" w:cs="Times New Roman"/>
                <w:color w:val="auto"/>
                <w:kern w:val="0"/>
                <w:sz w:val="24"/>
                <w:highlight w:val="none"/>
                <w:lang w:bidi="ar"/>
              </w:rPr>
              <w:t>晋升中医药正高级职称临床工作量</w:t>
            </w:r>
          </w:p>
        </w:tc>
      </w:tr>
      <w:tr>
        <w:tblPrEx>
          <w:tblCellMar>
            <w:top w:w="0" w:type="dxa"/>
            <w:left w:w="108" w:type="dxa"/>
            <w:bottom w:w="0" w:type="dxa"/>
            <w:right w:w="108" w:type="dxa"/>
          </w:tblCellMar>
        </w:tblPrEx>
        <w:trPr>
          <w:trHeight w:val="6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黑体" w:cs="Times New Roman"/>
                <w:color w:val="auto"/>
                <w:sz w:val="24"/>
                <w:highlight w:val="none"/>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黑体" w:cs="Times New Roman"/>
                <w:color w:val="auto"/>
                <w:sz w:val="24"/>
                <w:highlight w:val="none"/>
              </w:rPr>
            </w:pP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Times New Roman"/>
                <w:color w:val="auto"/>
                <w:sz w:val="24"/>
                <w:highlight w:val="none"/>
              </w:rPr>
            </w:pPr>
            <w:r>
              <w:rPr>
                <w:rFonts w:ascii="Times New Roman" w:hAnsi="Times New Roman" w:eastAsia="黑体" w:cs="Times New Roman"/>
                <w:color w:val="auto"/>
                <w:kern w:val="0"/>
                <w:sz w:val="24"/>
                <w:highlight w:val="none"/>
                <w:lang w:bidi="ar"/>
              </w:rPr>
              <w:t>门诊工作量</w:t>
            </w:r>
          </w:p>
        </w:tc>
        <w:tc>
          <w:tcPr>
            <w:tcW w:w="1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Times New Roman"/>
                <w:color w:val="auto"/>
                <w:kern w:val="0"/>
                <w:sz w:val="24"/>
                <w:highlight w:val="none"/>
                <w:lang w:bidi="ar"/>
              </w:rPr>
            </w:pPr>
            <w:r>
              <w:rPr>
                <w:rFonts w:ascii="Times New Roman" w:hAnsi="Times New Roman" w:eastAsia="黑体" w:cs="Times New Roman"/>
                <w:color w:val="auto"/>
                <w:kern w:val="0"/>
                <w:sz w:val="24"/>
                <w:highlight w:val="none"/>
                <w:lang w:bidi="ar"/>
              </w:rPr>
              <w:t>出院人数</w:t>
            </w:r>
          </w:p>
          <w:p>
            <w:pPr>
              <w:widowControl/>
              <w:jc w:val="center"/>
              <w:textAlignment w:val="center"/>
              <w:rPr>
                <w:rFonts w:ascii="Times New Roman" w:hAnsi="Times New Roman" w:eastAsia="黑体" w:cs="Times New Roman"/>
                <w:color w:val="auto"/>
                <w:sz w:val="24"/>
                <w:highlight w:val="none"/>
              </w:rPr>
            </w:pPr>
            <w:r>
              <w:rPr>
                <w:rFonts w:ascii="Times New Roman" w:hAnsi="Times New Roman" w:eastAsia="黑体" w:cs="Times New Roman"/>
                <w:color w:val="auto"/>
                <w:kern w:val="0"/>
                <w:sz w:val="24"/>
                <w:highlight w:val="none"/>
                <w:lang w:bidi="ar"/>
              </w:rPr>
              <w:t>（有病房）</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Times New Roman"/>
                <w:color w:val="auto"/>
                <w:kern w:val="0"/>
                <w:sz w:val="24"/>
                <w:highlight w:val="none"/>
                <w:lang w:bidi="ar"/>
              </w:rPr>
            </w:pPr>
            <w:r>
              <w:rPr>
                <w:rFonts w:hint="eastAsia" w:ascii="Times New Roman" w:hAnsi="Times New Roman" w:eastAsia="黑体" w:cs="Times New Roman"/>
                <w:color w:val="auto"/>
                <w:kern w:val="0"/>
                <w:sz w:val="24"/>
                <w:highlight w:val="none"/>
                <w:lang w:bidi="ar"/>
              </w:rPr>
              <w:t>出院患者</w:t>
            </w:r>
          </w:p>
          <w:p>
            <w:pPr>
              <w:widowControl/>
              <w:jc w:val="center"/>
              <w:textAlignment w:val="center"/>
              <w:rPr>
                <w:rFonts w:ascii="Times New Roman" w:hAnsi="Times New Roman" w:eastAsia="黑体" w:cs="Times New Roman"/>
                <w:color w:val="auto"/>
                <w:sz w:val="24"/>
                <w:highlight w:val="none"/>
              </w:rPr>
            </w:pPr>
            <w:r>
              <w:rPr>
                <w:rFonts w:ascii="Times New Roman" w:hAnsi="Times New Roman" w:eastAsia="黑体" w:cs="Times New Roman"/>
                <w:color w:val="auto"/>
                <w:kern w:val="0"/>
                <w:sz w:val="24"/>
                <w:highlight w:val="none"/>
                <w:lang w:bidi="ar"/>
              </w:rPr>
              <w:t>手术/操作人次</w:t>
            </w:r>
          </w:p>
        </w:tc>
        <w:tc>
          <w:tcPr>
            <w:tcW w:w="24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Times New Roman"/>
                <w:color w:val="auto"/>
                <w:sz w:val="24"/>
                <w:highlight w:val="none"/>
              </w:rPr>
            </w:pPr>
            <w:r>
              <w:rPr>
                <w:rFonts w:ascii="Times New Roman" w:hAnsi="Times New Roman" w:eastAsia="黑体" w:cs="Times New Roman"/>
                <w:color w:val="auto"/>
                <w:kern w:val="0"/>
                <w:sz w:val="24"/>
                <w:highlight w:val="none"/>
                <w:lang w:bidi="ar"/>
              </w:rPr>
              <w:t>门诊工作量</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Times New Roman"/>
                <w:color w:val="auto"/>
                <w:kern w:val="0"/>
                <w:sz w:val="24"/>
                <w:highlight w:val="none"/>
                <w:lang w:bidi="ar"/>
              </w:rPr>
            </w:pPr>
            <w:r>
              <w:rPr>
                <w:rFonts w:ascii="Times New Roman" w:hAnsi="Times New Roman" w:eastAsia="黑体" w:cs="Times New Roman"/>
                <w:color w:val="auto"/>
                <w:kern w:val="0"/>
                <w:sz w:val="24"/>
                <w:highlight w:val="none"/>
                <w:lang w:bidi="ar"/>
              </w:rPr>
              <w:t>出院人数</w:t>
            </w:r>
          </w:p>
          <w:p>
            <w:pPr>
              <w:widowControl/>
              <w:jc w:val="center"/>
              <w:textAlignment w:val="center"/>
              <w:rPr>
                <w:rFonts w:ascii="Times New Roman" w:hAnsi="Times New Roman" w:eastAsia="黑体" w:cs="Times New Roman"/>
                <w:color w:val="auto"/>
                <w:sz w:val="24"/>
                <w:highlight w:val="none"/>
              </w:rPr>
            </w:pPr>
            <w:r>
              <w:rPr>
                <w:rFonts w:ascii="Times New Roman" w:hAnsi="Times New Roman" w:eastAsia="黑体" w:cs="Times New Roman"/>
                <w:color w:val="auto"/>
                <w:kern w:val="0"/>
                <w:sz w:val="24"/>
                <w:highlight w:val="none"/>
                <w:lang w:bidi="ar"/>
              </w:rPr>
              <w:t>（有病房）</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Times New Roman"/>
                <w:color w:val="auto"/>
                <w:kern w:val="0"/>
                <w:sz w:val="24"/>
                <w:highlight w:val="none"/>
                <w:lang w:bidi="ar"/>
              </w:rPr>
            </w:pPr>
            <w:r>
              <w:rPr>
                <w:rFonts w:hint="eastAsia" w:ascii="Times New Roman" w:hAnsi="Times New Roman" w:eastAsia="黑体" w:cs="Times New Roman"/>
                <w:color w:val="auto"/>
                <w:kern w:val="0"/>
                <w:sz w:val="24"/>
                <w:highlight w:val="none"/>
                <w:lang w:bidi="ar"/>
              </w:rPr>
              <w:t>出院患者</w:t>
            </w:r>
          </w:p>
          <w:p>
            <w:pPr>
              <w:widowControl/>
              <w:jc w:val="center"/>
              <w:textAlignment w:val="center"/>
              <w:rPr>
                <w:rFonts w:ascii="Times New Roman" w:hAnsi="Times New Roman" w:eastAsia="黑体" w:cs="Times New Roman"/>
                <w:color w:val="auto"/>
                <w:sz w:val="24"/>
                <w:highlight w:val="none"/>
              </w:rPr>
            </w:pPr>
            <w:r>
              <w:rPr>
                <w:rFonts w:ascii="Times New Roman" w:hAnsi="Times New Roman" w:eastAsia="黑体" w:cs="Times New Roman"/>
                <w:color w:val="auto"/>
                <w:kern w:val="0"/>
                <w:sz w:val="24"/>
                <w:highlight w:val="none"/>
                <w:lang w:bidi="ar"/>
              </w:rPr>
              <w:t>手术/操作人次</w:t>
            </w:r>
          </w:p>
        </w:tc>
      </w:tr>
      <w:tr>
        <w:tblPrEx>
          <w:tblCellMar>
            <w:top w:w="0" w:type="dxa"/>
            <w:left w:w="108" w:type="dxa"/>
            <w:bottom w:w="0" w:type="dxa"/>
            <w:right w:w="108" w:type="dxa"/>
          </w:tblCellMar>
        </w:tblPrEx>
        <w:trPr>
          <w:trHeight w:val="600" w:hRule="atLeast"/>
          <w:jc w:val="center"/>
        </w:trPr>
        <w:tc>
          <w:tcPr>
            <w:tcW w:w="73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lang w:bidi="ar"/>
              </w:rPr>
              <w:t>1</w:t>
            </w:r>
          </w:p>
        </w:tc>
        <w:tc>
          <w:tcPr>
            <w:tcW w:w="14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非手术专业为主</w:t>
            </w: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lang w:bidi="ar"/>
              </w:rPr>
              <w:t>600人次（参与或作为治疗组长）</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highlight w:val="none"/>
              </w:rPr>
            </w:pPr>
          </w:p>
        </w:tc>
        <w:tc>
          <w:tcPr>
            <w:tcW w:w="24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lang w:bidi="ar"/>
              </w:rPr>
              <w:t>900人次（参与或作为治疗组长）</w:t>
            </w:r>
          </w:p>
        </w:tc>
        <w:tc>
          <w:tcPr>
            <w:tcW w:w="19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highlight w:val="none"/>
              </w:rPr>
            </w:pPr>
          </w:p>
        </w:tc>
      </w:tr>
      <w:tr>
        <w:tblPrEx>
          <w:tblCellMar>
            <w:top w:w="0" w:type="dxa"/>
            <w:left w:w="108" w:type="dxa"/>
            <w:bottom w:w="0" w:type="dxa"/>
            <w:right w:w="108" w:type="dxa"/>
          </w:tblCellMar>
        </w:tblPrEx>
        <w:trPr>
          <w:trHeight w:val="600" w:hRule="atLeast"/>
          <w:jc w:val="center"/>
        </w:trPr>
        <w:tc>
          <w:tcPr>
            <w:tcW w:w="73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p>
        </w:tc>
        <w:tc>
          <w:tcPr>
            <w:tcW w:w="14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lang w:bidi="ar"/>
              </w:rPr>
              <w:t>500单元（无病房）</w:t>
            </w:r>
          </w:p>
        </w:tc>
        <w:tc>
          <w:tcPr>
            <w:tcW w:w="1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highlight w:val="none"/>
              </w:rPr>
            </w:pPr>
          </w:p>
        </w:tc>
        <w:tc>
          <w:tcPr>
            <w:tcW w:w="24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kern w:val="0"/>
                <w:sz w:val="24"/>
                <w:highlight w:val="none"/>
                <w:lang w:bidi="ar"/>
              </w:rPr>
              <w:t>8</w:t>
            </w:r>
            <w:r>
              <w:rPr>
                <w:rFonts w:ascii="Times New Roman" w:hAnsi="Times New Roman" w:eastAsia="仿宋_GB2312" w:cs="Times New Roman"/>
                <w:color w:val="auto"/>
                <w:kern w:val="0"/>
                <w:sz w:val="24"/>
                <w:highlight w:val="none"/>
                <w:lang w:bidi="ar"/>
              </w:rPr>
              <w:t>00单元（</w:t>
            </w:r>
            <w:r>
              <w:rPr>
                <w:rFonts w:hint="eastAsia" w:ascii="Times New Roman" w:hAnsi="Times New Roman" w:eastAsia="仿宋_GB2312" w:cs="Times New Roman"/>
                <w:color w:val="auto"/>
                <w:kern w:val="0"/>
                <w:sz w:val="24"/>
                <w:highlight w:val="none"/>
                <w:lang w:bidi="ar"/>
              </w:rPr>
              <w:t>无</w:t>
            </w:r>
            <w:r>
              <w:rPr>
                <w:rFonts w:ascii="Times New Roman" w:hAnsi="Times New Roman" w:eastAsia="仿宋_GB2312" w:cs="Times New Roman"/>
                <w:color w:val="auto"/>
                <w:kern w:val="0"/>
                <w:sz w:val="24"/>
                <w:highlight w:val="none"/>
                <w:lang w:bidi="ar"/>
              </w:rPr>
              <w:t>病房）</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p>
        </w:tc>
        <w:tc>
          <w:tcPr>
            <w:tcW w:w="19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highlight w:val="none"/>
              </w:rPr>
            </w:pPr>
          </w:p>
        </w:tc>
      </w:tr>
      <w:tr>
        <w:tblPrEx>
          <w:tblCellMar>
            <w:top w:w="0" w:type="dxa"/>
            <w:left w:w="108" w:type="dxa"/>
            <w:bottom w:w="0" w:type="dxa"/>
            <w:right w:w="108" w:type="dxa"/>
          </w:tblCellMar>
        </w:tblPrEx>
        <w:trPr>
          <w:trHeight w:val="600" w:hRule="atLeast"/>
          <w:jc w:val="center"/>
        </w:trPr>
        <w:tc>
          <w:tcPr>
            <w:tcW w:w="73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2</w:t>
            </w:r>
          </w:p>
        </w:tc>
        <w:tc>
          <w:tcPr>
            <w:tcW w:w="14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手术为主专业</w:t>
            </w: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lang w:bidi="ar"/>
              </w:rPr>
              <w:t>300单元（有病房）</w:t>
            </w:r>
          </w:p>
        </w:tc>
        <w:tc>
          <w:tcPr>
            <w:tcW w:w="1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lang w:bidi="ar"/>
              </w:rPr>
              <w:t>400人次（参与或作为治疗组长）</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300</w:t>
            </w:r>
          </w:p>
        </w:tc>
        <w:tc>
          <w:tcPr>
            <w:tcW w:w="24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lang w:bidi="ar"/>
              </w:rPr>
              <w:t>400单元（有病房）</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lang w:bidi="ar"/>
              </w:rPr>
              <w:t>500人次（参与或作为治疗组长）</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400</w:t>
            </w:r>
          </w:p>
        </w:tc>
      </w:tr>
      <w:tr>
        <w:tblPrEx>
          <w:tblCellMar>
            <w:top w:w="0" w:type="dxa"/>
            <w:left w:w="108" w:type="dxa"/>
            <w:bottom w:w="0" w:type="dxa"/>
            <w:right w:w="108" w:type="dxa"/>
          </w:tblCellMar>
        </w:tblPrEx>
        <w:trPr>
          <w:trHeight w:val="600" w:hRule="atLeast"/>
          <w:jc w:val="center"/>
        </w:trPr>
        <w:tc>
          <w:tcPr>
            <w:tcW w:w="73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kern w:val="0"/>
                <w:sz w:val="24"/>
                <w:highlight w:val="none"/>
                <w:lang w:bidi="ar"/>
              </w:rPr>
            </w:pPr>
          </w:p>
        </w:tc>
        <w:tc>
          <w:tcPr>
            <w:tcW w:w="14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sz w:val="24"/>
                <w:highlight w:val="none"/>
              </w:rPr>
            </w:pP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kern w:val="0"/>
                <w:sz w:val="24"/>
                <w:highlight w:val="none"/>
                <w:lang w:bidi="ar"/>
              </w:rPr>
            </w:pPr>
            <w:r>
              <w:rPr>
                <w:rFonts w:ascii="Times New Roman" w:hAnsi="Times New Roman" w:eastAsia="仿宋_GB2312" w:cs="Times New Roman"/>
                <w:color w:val="auto"/>
                <w:kern w:val="0"/>
                <w:sz w:val="24"/>
                <w:highlight w:val="none"/>
                <w:lang w:bidi="ar"/>
              </w:rPr>
              <w:t>500单元（无病房）</w:t>
            </w:r>
          </w:p>
        </w:tc>
        <w:tc>
          <w:tcPr>
            <w:tcW w:w="1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kern w:val="0"/>
                <w:sz w:val="24"/>
                <w:highlight w:val="none"/>
                <w:lang w:bidi="ar"/>
              </w:rPr>
            </w:pP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kern w:val="0"/>
                <w:sz w:val="24"/>
                <w:highlight w:val="none"/>
                <w:lang w:bidi="ar"/>
              </w:rPr>
            </w:pPr>
          </w:p>
        </w:tc>
        <w:tc>
          <w:tcPr>
            <w:tcW w:w="24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kern w:val="0"/>
                <w:sz w:val="24"/>
                <w:highlight w:val="none"/>
                <w:lang w:bidi="ar"/>
              </w:rPr>
            </w:pPr>
            <w:r>
              <w:rPr>
                <w:rFonts w:ascii="Times New Roman" w:hAnsi="Times New Roman" w:eastAsia="仿宋_GB2312" w:cs="Times New Roman"/>
                <w:color w:val="auto"/>
                <w:kern w:val="0"/>
                <w:sz w:val="24"/>
                <w:highlight w:val="none"/>
                <w:lang w:bidi="ar"/>
              </w:rPr>
              <w:t>800单元（无病房）</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kern w:val="0"/>
                <w:sz w:val="24"/>
                <w:highlight w:val="none"/>
                <w:lang w:bidi="ar"/>
              </w:rPr>
            </w:pP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auto"/>
                <w:kern w:val="0"/>
                <w:sz w:val="24"/>
                <w:highlight w:val="none"/>
                <w:lang w:bidi="ar"/>
              </w:rPr>
            </w:pPr>
          </w:p>
        </w:tc>
      </w:tr>
    </w:tbl>
    <w:p>
      <w:pPr>
        <w:overflowPunct w:val="0"/>
        <w:adjustRightInd w:val="0"/>
        <w:snapToGrid w:val="0"/>
        <w:spacing w:line="380" w:lineRule="exact"/>
        <w:rPr>
          <w:rFonts w:ascii="Times New Roman" w:hAnsi="Times New Roman" w:eastAsia="楷体_GB2312" w:cs="Times New Roman"/>
          <w:color w:val="auto"/>
          <w:kern w:val="0"/>
          <w:sz w:val="24"/>
          <w:highlight w:val="none"/>
          <w:lang w:bidi="ar"/>
        </w:rPr>
      </w:pPr>
      <w:r>
        <w:rPr>
          <w:rFonts w:ascii="Times New Roman" w:hAnsi="Times New Roman" w:eastAsia="黑体" w:cs="Times New Roman"/>
          <w:color w:val="auto"/>
          <w:kern w:val="0"/>
          <w:sz w:val="24"/>
          <w:highlight w:val="none"/>
          <w:lang w:bidi="ar"/>
        </w:rPr>
        <w:t>注：</w:t>
      </w:r>
      <w:r>
        <w:rPr>
          <w:rFonts w:ascii="Times New Roman" w:hAnsi="Times New Roman" w:eastAsia="楷体_GB2312" w:cs="Times New Roman"/>
          <w:color w:val="auto"/>
          <w:kern w:val="0"/>
          <w:sz w:val="24"/>
          <w:highlight w:val="none"/>
          <w:lang w:bidi="ar"/>
        </w:rPr>
        <w:t>1.工作量指标是中级晋升副高、副高晋升正高期间的完成工作量，均从聘任时间开始计算。半天（4小时）接诊不少于15位患者为1个有效单元。非急诊科医生在任现职期间如轮转急诊科，工作期间按照4小时为一个门诊单元数计算。针灸、推拿(按摩)、刮痧、拔罐等中医治疗技术，因受手法操作时间限制，工作量按照4小时为一个门诊单元数计算，不考虑治疗病人数量。</w:t>
      </w:r>
    </w:p>
    <w:p>
      <w:pPr>
        <w:overflowPunct w:val="0"/>
        <w:adjustRightInd w:val="0"/>
        <w:snapToGrid w:val="0"/>
        <w:spacing w:line="380" w:lineRule="exact"/>
        <w:rPr>
          <w:rFonts w:ascii="Times New Roman" w:hAnsi="Times New Roman" w:eastAsia="楷体_GB2312" w:cs="Times New Roman"/>
          <w:color w:val="auto"/>
          <w:kern w:val="0"/>
          <w:sz w:val="24"/>
          <w:highlight w:val="none"/>
          <w:lang w:bidi="ar"/>
        </w:rPr>
      </w:pPr>
      <w:r>
        <w:rPr>
          <w:rFonts w:ascii="Times New Roman" w:hAnsi="Times New Roman" w:eastAsia="楷体_GB2312" w:cs="Times New Roman"/>
          <w:color w:val="auto"/>
          <w:kern w:val="0"/>
          <w:sz w:val="24"/>
          <w:highlight w:val="none"/>
          <w:lang w:bidi="ar"/>
        </w:rPr>
        <w:t>2.全科医学专业医师门诊工作量包含下基层指导工作时间。</w:t>
      </w:r>
    </w:p>
    <w:p>
      <w:pPr>
        <w:overflowPunct w:val="0"/>
        <w:adjustRightInd w:val="0"/>
        <w:snapToGrid w:val="0"/>
        <w:spacing w:line="380" w:lineRule="exact"/>
        <w:rPr>
          <w:rFonts w:ascii="Times New Roman" w:hAnsi="Times New Roman" w:eastAsia="楷体_GB2312" w:cs="Times New Roman"/>
          <w:color w:val="auto"/>
          <w:kern w:val="0"/>
          <w:sz w:val="24"/>
          <w:highlight w:val="none"/>
          <w:lang w:bidi="ar"/>
        </w:rPr>
      </w:pPr>
      <w:r>
        <w:rPr>
          <w:rFonts w:ascii="Times New Roman" w:hAnsi="Times New Roman" w:eastAsia="楷体_GB2312" w:cs="Times New Roman"/>
          <w:color w:val="auto"/>
          <w:kern w:val="0"/>
          <w:sz w:val="24"/>
          <w:highlight w:val="none"/>
          <w:lang w:bidi="ar"/>
        </w:rPr>
        <w:t>3.手术/操作人次，晋升副高以主刀或一助计算；晋升正高以主刀计算。</w:t>
      </w:r>
    </w:p>
    <w:p>
      <w:pPr>
        <w:overflowPunct w:val="0"/>
        <w:adjustRightInd w:val="0"/>
        <w:snapToGrid w:val="0"/>
        <w:spacing w:line="380" w:lineRule="exact"/>
        <w:rPr>
          <w:rFonts w:ascii="Times New Roman" w:hAnsi="Times New Roman" w:eastAsia="楷体_GB2312" w:cs="Times New Roman"/>
          <w:color w:val="auto"/>
          <w:kern w:val="0"/>
          <w:sz w:val="24"/>
          <w:highlight w:val="none"/>
          <w:lang w:bidi="ar"/>
        </w:rPr>
      </w:pPr>
      <w:r>
        <w:rPr>
          <w:rFonts w:ascii="Times New Roman" w:hAnsi="Times New Roman" w:eastAsia="楷体_GB2312" w:cs="Times New Roman"/>
          <w:color w:val="auto"/>
          <w:kern w:val="0"/>
          <w:sz w:val="24"/>
          <w:highlight w:val="none"/>
          <w:lang w:bidi="ar"/>
        </w:rPr>
        <w:t>4.出院人数以参与或作为治疗组组长计算。</w:t>
      </w:r>
    </w:p>
    <w:p>
      <w:pPr>
        <w:overflowPunct w:val="0"/>
        <w:adjustRightInd w:val="0"/>
        <w:snapToGrid w:val="0"/>
        <w:spacing w:line="380" w:lineRule="exact"/>
        <w:rPr>
          <w:rFonts w:ascii="Times New Roman" w:hAnsi="Times New Roman" w:eastAsia="楷体_GB2312" w:cs="Times New Roman"/>
          <w:color w:val="auto"/>
          <w:kern w:val="0"/>
          <w:sz w:val="24"/>
          <w:highlight w:val="none"/>
          <w:lang w:bidi="ar"/>
        </w:rPr>
        <w:sectPr>
          <w:pgSz w:w="16838" w:h="11906" w:orient="landscape"/>
          <w:pgMar w:top="1587" w:right="1440" w:bottom="1474" w:left="1440" w:header="851" w:footer="992" w:gutter="0"/>
          <w:cols w:space="720" w:num="1"/>
          <w:titlePg/>
          <w:docGrid w:linePitch="312" w:charSpace="0"/>
        </w:sectPr>
      </w:pPr>
      <w:r>
        <w:rPr>
          <w:rFonts w:ascii="Times New Roman" w:hAnsi="Times New Roman" w:eastAsia="楷体_GB2312" w:cs="Times New Roman"/>
          <w:color w:val="auto"/>
          <w:kern w:val="0"/>
          <w:sz w:val="24"/>
          <w:highlight w:val="none"/>
          <w:lang w:bidi="ar"/>
        </w:rPr>
        <w:t>5.手术专业和非手术专业由各医院</w:t>
      </w:r>
      <w:r>
        <w:rPr>
          <w:rFonts w:hint="eastAsia" w:ascii="Times New Roman" w:hAnsi="Times New Roman" w:eastAsia="楷体_GB2312" w:cs="Times New Roman"/>
          <w:color w:val="auto"/>
          <w:kern w:val="0"/>
          <w:sz w:val="24"/>
          <w:highlight w:val="none"/>
          <w:lang w:bidi="ar"/>
        </w:rPr>
        <w:t>根据申报人员工作实际进行</w:t>
      </w:r>
      <w:r>
        <w:rPr>
          <w:rFonts w:ascii="Times New Roman" w:hAnsi="Times New Roman" w:eastAsia="楷体_GB2312" w:cs="Times New Roman"/>
          <w:color w:val="auto"/>
          <w:kern w:val="0"/>
          <w:sz w:val="24"/>
          <w:highlight w:val="none"/>
          <w:lang w:bidi="ar"/>
        </w:rPr>
        <w:t>确定。</w:t>
      </w:r>
    </w:p>
    <w:p>
      <w:pPr>
        <w:overflowPunct w:val="0"/>
        <w:spacing w:line="660" w:lineRule="exact"/>
        <w:jc w:val="center"/>
        <w:rPr>
          <w:rFonts w:hint="eastAsia" w:ascii="LinTimes" w:hAnsi="LinTimes" w:eastAsia="方正小标宋简体" w:cs="LinTimes"/>
          <w:b/>
          <w:color w:val="auto"/>
          <w:sz w:val="36"/>
          <w:szCs w:val="36"/>
          <w:highlight w:val="none"/>
          <w:lang w:eastAsia="zh-CN"/>
        </w:rPr>
      </w:pPr>
      <w:r>
        <w:rPr>
          <w:rFonts w:hint="eastAsia" w:ascii="方正小标宋简体" w:hAnsi="方正小标宋简体" w:eastAsia="方正小标宋简体" w:cs="方正小标宋简体"/>
          <w:bCs/>
          <w:color w:val="auto"/>
          <w:sz w:val="44"/>
          <w:szCs w:val="44"/>
          <w:highlight w:val="none"/>
        </w:rPr>
        <w:t>中医药高级职称评价指标</w:t>
      </w:r>
    </w:p>
    <w:tbl>
      <w:tblPr>
        <w:tblStyle w:val="11"/>
        <w:tblW w:w="15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2385"/>
        <w:gridCol w:w="4950"/>
        <w:gridCol w:w="4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blHeader/>
          <w:jc w:val="center"/>
        </w:trPr>
        <w:tc>
          <w:tcPr>
            <w:tcW w:w="1417" w:type="dxa"/>
            <w:vAlign w:val="center"/>
          </w:tcPr>
          <w:p>
            <w:pPr>
              <w:widowControl/>
              <w:jc w:val="center"/>
              <w:rPr>
                <w:rFonts w:ascii="LinTimes" w:hAnsi="LinTimes" w:eastAsia="黑体" w:cs="LinTimes"/>
                <w:color w:val="auto"/>
                <w:kern w:val="0"/>
                <w:sz w:val="28"/>
                <w:szCs w:val="28"/>
                <w:highlight w:val="none"/>
              </w:rPr>
            </w:pPr>
            <w:r>
              <w:rPr>
                <w:rFonts w:ascii="LinTimes" w:hAnsi="LinTimes" w:eastAsia="黑体" w:cs="LinTimes"/>
                <w:color w:val="auto"/>
                <w:kern w:val="0"/>
                <w:sz w:val="28"/>
                <w:szCs w:val="28"/>
                <w:highlight w:val="none"/>
              </w:rPr>
              <w:t>评价维度</w:t>
            </w:r>
          </w:p>
        </w:tc>
        <w:tc>
          <w:tcPr>
            <w:tcW w:w="1417" w:type="dxa"/>
            <w:vAlign w:val="center"/>
          </w:tcPr>
          <w:p>
            <w:pPr>
              <w:widowControl/>
              <w:jc w:val="center"/>
              <w:rPr>
                <w:rFonts w:ascii="LinTimes" w:hAnsi="LinTimes" w:eastAsia="黑体" w:cs="LinTimes"/>
                <w:color w:val="auto"/>
                <w:kern w:val="0"/>
                <w:sz w:val="28"/>
                <w:szCs w:val="28"/>
                <w:highlight w:val="none"/>
              </w:rPr>
            </w:pPr>
            <w:r>
              <w:rPr>
                <w:rFonts w:ascii="LinTimes" w:hAnsi="LinTimes" w:eastAsia="黑体" w:cs="LinTimes"/>
                <w:color w:val="auto"/>
                <w:kern w:val="0"/>
                <w:sz w:val="28"/>
                <w:szCs w:val="28"/>
                <w:highlight w:val="none"/>
              </w:rPr>
              <w:t>二级指标</w:t>
            </w:r>
          </w:p>
        </w:tc>
        <w:tc>
          <w:tcPr>
            <w:tcW w:w="2385" w:type="dxa"/>
            <w:vAlign w:val="center"/>
          </w:tcPr>
          <w:p>
            <w:pPr>
              <w:widowControl/>
              <w:jc w:val="center"/>
              <w:rPr>
                <w:rFonts w:ascii="LinTimes" w:hAnsi="LinTimes" w:eastAsia="黑体" w:cs="LinTimes"/>
                <w:color w:val="auto"/>
                <w:kern w:val="0"/>
                <w:sz w:val="28"/>
                <w:szCs w:val="28"/>
                <w:highlight w:val="none"/>
              </w:rPr>
            </w:pPr>
            <w:r>
              <w:rPr>
                <w:rFonts w:ascii="LinTimes" w:hAnsi="LinTimes" w:eastAsia="黑体" w:cs="LinTimes"/>
                <w:color w:val="auto"/>
                <w:kern w:val="0"/>
                <w:sz w:val="28"/>
                <w:szCs w:val="28"/>
                <w:highlight w:val="none"/>
              </w:rPr>
              <w:t>三级指标</w:t>
            </w:r>
          </w:p>
        </w:tc>
        <w:tc>
          <w:tcPr>
            <w:tcW w:w="4950" w:type="dxa"/>
            <w:vAlign w:val="center"/>
          </w:tcPr>
          <w:p>
            <w:pPr>
              <w:widowControl/>
              <w:jc w:val="center"/>
              <w:rPr>
                <w:rFonts w:ascii="LinTimes" w:hAnsi="LinTimes" w:eastAsia="黑体" w:cs="LinTimes"/>
                <w:color w:val="auto"/>
                <w:kern w:val="0"/>
                <w:sz w:val="28"/>
                <w:szCs w:val="28"/>
                <w:highlight w:val="none"/>
              </w:rPr>
            </w:pPr>
            <w:r>
              <w:rPr>
                <w:rFonts w:ascii="LinTimes" w:hAnsi="LinTimes" w:eastAsia="黑体" w:cs="LinTimes"/>
                <w:color w:val="auto"/>
                <w:kern w:val="0"/>
                <w:sz w:val="28"/>
                <w:szCs w:val="28"/>
                <w:highlight w:val="none"/>
              </w:rPr>
              <w:t>指标定义</w:t>
            </w:r>
          </w:p>
        </w:tc>
        <w:tc>
          <w:tcPr>
            <w:tcW w:w="4905" w:type="dxa"/>
            <w:vAlign w:val="center"/>
          </w:tcPr>
          <w:p>
            <w:pPr>
              <w:widowControl/>
              <w:jc w:val="center"/>
              <w:rPr>
                <w:rFonts w:ascii="LinTimes" w:hAnsi="LinTimes" w:eastAsia="黑体" w:cs="LinTimes"/>
                <w:color w:val="auto"/>
                <w:kern w:val="0"/>
                <w:sz w:val="28"/>
                <w:szCs w:val="28"/>
                <w:highlight w:val="none"/>
              </w:rPr>
            </w:pPr>
            <w:r>
              <w:rPr>
                <w:rFonts w:ascii="LinTimes" w:hAnsi="LinTimes" w:eastAsia="黑体" w:cs="LinTimes"/>
                <w:color w:val="auto"/>
                <w:kern w:val="0"/>
                <w:sz w:val="28"/>
                <w:szCs w:val="28"/>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7" w:type="dxa"/>
            <w:vMerge w:val="restart"/>
            <w:vAlign w:val="center"/>
          </w:tcPr>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技术</w:t>
            </w:r>
          </w:p>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能力</w:t>
            </w:r>
          </w:p>
        </w:tc>
        <w:tc>
          <w:tcPr>
            <w:tcW w:w="1417" w:type="dxa"/>
            <w:vMerge w:val="restart"/>
            <w:vAlign w:val="center"/>
          </w:tcPr>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中医治疗情况</w:t>
            </w:r>
          </w:p>
        </w:tc>
        <w:tc>
          <w:tcPr>
            <w:tcW w:w="2385" w:type="dxa"/>
            <w:vAlign w:val="center"/>
          </w:tcPr>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以中医为主治疗的出院患者比例</w:t>
            </w:r>
          </w:p>
        </w:tc>
        <w:tc>
          <w:tcPr>
            <w:tcW w:w="4950"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 xml:space="preserve">考核期内医师以中医为主治疗本专业出院患者的比例。 </w:t>
            </w:r>
          </w:p>
        </w:tc>
        <w:tc>
          <w:tcPr>
            <w:tcW w:w="4905"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考核期内医师以中医为主治疗的本专业出院患者数量/本专业出院患者总数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417" w:type="dxa"/>
            <w:vMerge w:val="continue"/>
            <w:vAlign w:val="center"/>
          </w:tcPr>
          <w:p>
            <w:pPr>
              <w:widowControl/>
              <w:jc w:val="left"/>
              <w:rPr>
                <w:rFonts w:ascii="仿宋_GB2312" w:hAnsi="仿宋_GB2312" w:eastAsia="仿宋_GB2312" w:cs="仿宋_GB2312"/>
                <w:bCs/>
                <w:color w:val="auto"/>
                <w:kern w:val="0"/>
                <w:sz w:val="28"/>
                <w:szCs w:val="28"/>
                <w:highlight w:val="none"/>
              </w:rPr>
            </w:pPr>
          </w:p>
        </w:tc>
        <w:tc>
          <w:tcPr>
            <w:tcW w:w="1417" w:type="dxa"/>
            <w:vMerge w:val="continue"/>
            <w:vAlign w:val="center"/>
          </w:tcPr>
          <w:p>
            <w:pPr>
              <w:widowControl/>
              <w:jc w:val="left"/>
              <w:rPr>
                <w:rFonts w:ascii="仿宋_GB2312" w:hAnsi="仿宋_GB2312" w:eastAsia="仿宋_GB2312" w:cs="仿宋_GB2312"/>
                <w:bCs/>
                <w:color w:val="auto"/>
                <w:kern w:val="0"/>
                <w:sz w:val="28"/>
                <w:szCs w:val="28"/>
                <w:highlight w:val="none"/>
              </w:rPr>
            </w:pPr>
          </w:p>
        </w:tc>
        <w:tc>
          <w:tcPr>
            <w:tcW w:w="2385" w:type="dxa"/>
            <w:vAlign w:val="center"/>
          </w:tcPr>
          <w:p>
            <w:pPr>
              <w:widowControl/>
              <w:spacing w:line="440" w:lineRule="exact"/>
              <w:jc w:val="center"/>
              <w:rPr>
                <w:rFonts w:ascii="仿宋_GB2312" w:hAnsi="仿宋_GB2312" w:eastAsia="仿宋_GB2312" w:cs="仿宋_GB2312"/>
                <w:bCs/>
                <w:color w:val="auto"/>
                <w:spacing w:val="-6"/>
                <w:kern w:val="0"/>
                <w:sz w:val="28"/>
                <w:szCs w:val="28"/>
                <w:highlight w:val="none"/>
              </w:rPr>
            </w:pPr>
            <w:r>
              <w:rPr>
                <w:rFonts w:hint="eastAsia" w:ascii="仿宋_GB2312" w:hAnsi="仿宋_GB2312" w:eastAsia="仿宋_GB2312" w:cs="仿宋_GB2312"/>
                <w:bCs/>
                <w:color w:val="auto"/>
                <w:spacing w:val="-6"/>
                <w:kern w:val="0"/>
                <w:sz w:val="28"/>
                <w:szCs w:val="28"/>
                <w:highlight w:val="none"/>
              </w:rPr>
              <w:t>中药饮片处方比</w:t>
            </w:r>
          </w:p>
        </w:tc>
        <w:tc>
          <w:tcPr>
            <w:tcW w:w="4950"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考核期内医师对出院患者开具的中药饮片处方占所有处方的比例。</w:t>
            </w:r>
          </w:p>
        </w:tc>
        <w:tc>
          <w:tcPr>
            <w:tcW w:w="4905"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考核期内医师对出院患者开具的中药饮片处方数/所有处方总数×100%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417" w:type="dxa"/>
            <w:vMerge w:val="continue"/>
            <w:vAlign w:val="center"/>
          </w:tcPr>
          <w:p>
            <w:pPr>
              <w:widowControl/>
              <w:jc w:val="left"/>
              <w:rPr>
                <w:rFonts w:ascii="仿宋_GB2312" w:hAnsi="仿宋_GB2312" w:eastAsia="仿宋_GB2312" w:cs="仿宋_GB2312"/>
                <w:bCs/>
                <w:color w:val="auto"/>
                <w:kern w:val="0"/>
                <w:sz w:val="28"/>
                <w:szCs w:val="28"/>
                <w:highlight w:val="none"/>
              </w:rPr>
            </w:pPr>
          </w:p>
        </w:tc>
        <w:tc>
          <w:tcPr>
            <w:tcW w:w="1417" w:type="dxa"/>
            <w:vMerge w:val="continue"/>
            <w:vAlign w:val="center"/>
          </w:tcPr>
          <w:p>
            <w:pPr>
              <w:widowControl/>
              <w:jc w:val="left"/>
              <w:rPr>
                <w:rFonts w:ascii="仿宋_GB2312" w:hAnsi="仿宋_GB2312" w:eastAsia="仿宋_GB2312" w:cs="仿宋_GB2312"/>
                <w:bCs/>
                <w:color w:val="auto"/>
                <w:kern w:val="0"/>
                <w:sz w:val="28"/>
                <w:szCs w:val="28"/>
                <w:highlight w:val="none"/>
              </w:rPr>
            </w:pPr>
          </w:p>
        </w:tc>
        <w:tc>
          <w:tcPr>
            <w:tcW w:w="2385" w:type="dxa"/>
            <w:vAlign w:val="center"/>
          </w:tcPr>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 xml:space="preserve">中医治疗疑难危重病患者数量 </w:t>
            </w:r>
          </w:p>
        </w:tc>
        <w:tc>
          <w:tcPr>
            <w:tcW w:w="4950"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考核期内医师诊治的本专业疑难病数量。</w:t>
            </w:r>
          </w:p>
        </w:tc>
        <w:tc>
          <w:tcPr>
            <w:tcW w:w="4905"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考核期内出院患者中医诊治的本专业疑难病数量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417" w:type="dxa"/>
            <w:vMerge w:val="continue"/>
            <w:vAlign w:val="center"/>
          </w:tcPr>
          <w:p>
            <w:pPr>
              <w:widowControl/>
              <w:jc w:val="left"/>
              <w:rPr>
                <w:rFonts w:ascii="仿宋_GB2312" w:hAnsi="仿宋_GB2312" w:eastAsia="仿宋_GB2312" w:cs="仿宋_GB2312"/>
                <w:bCs/>
                <w:color w:val="auto"/>
                <w:kern w:val="0"/>
                <w:sz w:val="28"/>
                <w:szCs w:val="28"/>
                <w:highlight w:val="none"/>
              </w:rPr>
            </w:pPr>
          </w:p>
        </w:tc>
        <w:tc>
          <w:tcPr>
            <w:tcW w:w="1417" w:type="dxa"/>
            <w:vMerge w:val="continue"/>
            <w:vAlign w:val="center"/>
          </w:tcPr>
          <w:p>
            <w:pPr>
              <w:widowControl/>
              <w:jc w:val="left"/>
              <w:rPr>
                <w:rFonts w:ascii="仿宋_GB2312" w:hAnsi="仿宋_GB2312" w:eastAsia="仿宋_GB2312" w:cs="仿宋_GB2312"/>
                <w:bCs/>
                <w:color w:val="auto"/>
                <w:kern w:val="0"/>
                <w:sz w:val="28"/>
                <w:szCs w:val="28"/>
                <w:highlight w:val="none"/>
              </w:rPr>
            </w:pPr>
          </w:p>
        </w:tc>
        <w:tc>
          <w:tcPr>
            <w:tcW w:w="2385" w:type="dxa"/>
            <w:vAlign w:val="center"/>
          </w:tcPr>
          <w:p>
            <w:pPr>
              <w:widowControl/>
              <w:spacing w:line="440" w:lineRule="exact"/>
              <w:jc w:val="center"/>
              <w:rPr>
                <w:rFonts w:ascii="仿宋_GB2312" w:hAnsi="仿宋_GB2312" w:eastAsia="仿宋_GB2312" w:cs="仿宋_GB2312"/>
                <w:bCs/>
                <w:color w:val="auto"/>
                <w:spacing w:val="-6"/>
                <w:kern w:val="0"/>
                <w:sz w:val="28"/>
                <w:szCs w:val="28"/>
                <w:highlight w:val="none"/>
              </w:rPr>
            </w:pPr>
            <w:r>
              <w:rPr>
                <w:rFonts w:hint="eastAsia" w:ascii="仿宋_GB2312" w:hAnsi="仿宋_GB2312" w:eastAsia="仿宋_GB2312" w:cs="仿宋_GB2312"/>
                <w:bCs/>
                <w:color w:val="auto"/>
                <w:spacing w:val="-6"/>
                <w:kern w:val="0"/>
                <w:sz w:val="28"/>
                <w:szCs w:val="28"/>
                <w:highlight w:val="none"/>
              </w:rPr>
              <w:t xml:space="preserve">中医非药物疗法使用率 </w:t>
            </w:r>
          </w:p>
        </w:tc>
        <w:tc>
          <w:tcPr>
            <w:tcW w:w="4950"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考核期内医师诊治的出院患者使用中医非药物疗法的比例。</w:t>
            </w:r>
          </w:p>
        </w:tc>
        <w:tc>
          <w:tcPr>
            <w:tcW w:w="4905"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考核期内医师诊治的出院患者使用中医非药物疗法数量/中医药物和非药物疗法总数×100%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417" w:type="dxa"/>
            <w:vMerge w:val="continue"/>
            <w:vAlign w:val="center"/>
          </w:tcPr>
          <w:p>
            <w:pPr>
              <w:widowControl/>
              <w:jc w:val="left"/>
              <w:rPr>
                <w:rFonts w:ascii="仿宋_GB2312" w:hAnsi="仿宋_GB2312" w:eastAsia="仿宋_GB2312" w:cs="仿宋_GB2312"/>
                <w:bCs/>
                <w:color w:val="auto"/>
                <w:kern w:val="0"/>
                <w:sz w:val="28"/>
                <w:szCs w:val="28"/>
                <w:highlight w:val="none"/>
              </w:rPr>
            </w:pPr>
          </w:p>
        </w:tc>
        <w:tc>
          <w:tcPr>
            <w:tcW w:w="1417" w:type="dxa"/>
            <w:vMerge w:val="continue"/>
            <w:vAlign w:val="center"/>
          </w:tcPr>
          <w:p>
            <w:pPr>
              <w:widowControl/>
              <w:jc w:val="left"/>
              <w:rPr>
                <w:rFonts w:ascii="仿宋_GB2312" w:hAnsi="仿宋_GB2312" w:eastAsia="仿宋_GB2312" w:cs="仿宋_GB2312"/>
                <w:bCs/>
                <w:color w:val="auto"/>
                <w:kern w:val="0"/>
                <w:sz w:val="28"/>
                <w:szCs w:val="28"/>
                <w:highlight w:val="none"/>
              </w:rPr>
            </w:pPr>
          </w:p>
        </w:tc>
        <w:tc>
          <w:tcPr>
            <w:tcW w:w="2385" w:type="dxa"/>
            <w:vAlign w:val="center"/>
          </w:tcPr>
          <w:p>
            <w:pPr>
              <w:widowControl/>
              <w:spacing w:line="440" w:lineRule="exact"/>
              <w:jc w:val="center"/>
              <w:rPr>
                <w:rFonts w:ascii="仿宋_GB2312" w:hAnsi="仿宋_GB2312" w:eastAsia="仿宋_GB2312" w:cs="仿宋_GB2312"/>
                <w:bCs/>
                <w:color w:val="auto"/>
                <w:spacing w:val="-6"/>
                <w:kern w:val="0"/>
                <w:sz w:val="28"/>
                <w:szCs w:val="28"/>
                <w:highlight w:val="none"/>
              </w:rPr>
            </w:pPr>
            <w:r>
              <w:rPr>
                <w:rFonts w:hint="eastAsia" w:ascii="仿宋_GB2312" w:hAnsi="仿宋_GB2312" w:eastAsia="仿宋_GB2312" w:cs="仿宋_GB2312"/>
                <w:bCs/>
                <w:color w:val="auto"/>
                <w:spacing w:val="-6"/>
                <w:kern w:val="0"/>
                <w:sz w:val="28"/>
                <w:szCs w:val="28"/>
                <w:highlight w:val="none"/>
              </w:rPr>
              <w:t>中医药治疗疗效</w:t>
            </w:r>
          </w:p>
        </w:tc>
        <w:tc>
          <w:tcPr>
            <w:tcW w:w="4950"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考核期内医师用中医药方法治疗本专业疾病疗效</w:t>
            </w:r>
          </w:p>
        </w:tc>
        <w:tc>
          <w:tcPr>
            <w:tcW w:w="4905"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同行评议</w:t>
            </w:r>
          </w:p>
        </w:tc>
      </w:tr>
    </w:tbl>
    <w:p>
      <w:pPr>
        <w:overflowPunct w:val="0"/>
        <w:adjustRightInd w:val="0"/>
        <w:snapToGrid w:val="0"/>
        <w:spacing w:line="380" w:lineRule="exact"/>
        <w:rPr>
          <w:rFonts w:ascii="黑体" w:hAnsi="黑体" w:eastAsia="黑体"/>
          <w:color w:val="auto"/>
          <w:kern w:val="0"/>
          <w:sz w:val="24"/>
          <w:highlight w:val="none"/>
          <w:lang w:bidi="ar"/>
        </w:rPr>
      </w:pPr>
    </w:p>
    <w:p>
      <w:pPr>
        <w:pStyle w:val="3"/>
        <w:rPr>
          <w:color w:val="auto"/>
          <w:highlight w:val="none"/>
        </w:rPr>
        <w:sectPr>
          <w:footerReference r:id="rId6" w:type="first"/>
          <w:footerReference r:id="rId4" w:type="default"/>
          <w:footerReference r:id="rId5" w:type="even"/>
          <w:pgSz w:w="16838" w:h="11905" w:orient="landscape"/>
          <w:pgMar w:top="2098" w:right="1474" w:bottom="1984" w:left="1587" w:header="709" w:footer="822" w:gutter="0"/>
          <w:cols w:space="720" w:num="1"/>
          <w:titlePg/>
          <w:docGrid w:type="lines" w:linePitch="319" w:charSpace="0"/>
        </w:sect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2385"/>
        <w:gridCol w:w="4950"/>
        <w:gridCol w:w="4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blHeader/>
          <w:jc w:val="center"/>
        </w:trPr>
        <w:tc>
          <w:tcPr>
            <w:tcW w:w="1417" w:type="dxa"/>
            <w:vAlign w:val="center"/>
          </w:tcPr>
          <w:p>
            <w:pPr>
              <w:widowControl/>
              <w:jc w:val="center"/>
              <w:rPr>
                <w:rFonts w:ascii="LinTimes" w:hAnsi="LinTimes" w:eastAsia="黑体" w:cs="LinTimes"/>
                <w:color w:val="auto"/>
                <w:kern w:val="0"/>
                <w:sz w:val="28"/>
                <w:szCs w:val="28"/>
                <w:highlight w:val="none"/>
              </w:rPr>
            </w:pPr>
            <w:r>
              <w:rPr>
                <w:rFonts w:ascii="LinTimes" w:hAnsi="LinTimes" w:eastAsia="黑体" w:cs="LinTimes"/>
                <w:color w:val="auto"/>
                <w:kern w:val="0"/>
                <w:sz w:val="28"/>
                <w:szCs w:val="28"/>
                <w:highlight w:val="none"/>
              </w:rPr>
              <w:t>评价维度</w:t>
            </w:r>
          </w:p>
        </w:tc>
        <w:tc>
          <w:tcPr>
            <w:tcW w:w="1417" w:type="dxa"/>
            <w:vAlign w:val="center"/>
          </w:tcPr>
          <w:p>
            <w:pPr>
              <w:widowControl/>
              <w:jc w:val="center"/>
              <w:rPr>
                <w:rFonts w:ascii="LinTimes" w:hAnsi="LinTimes" w:eastAsia="黑体" w:cs="LinTimes"/>
                <w:color w:val="auto"/>
                <w:kern w:val="0"/>
                <w:sz w:val="28"/>
                <w:szCs w:val="28"/>
                <w:highlight w:val="none"/>
              </w:rPr>
            </w:pPr>
            <w:r>
              <w:rPr>
                <w:rFonts w:ascii="LinTimes" w:hAnsi="LinTimes" w:eastAsia="黑体" w:cs="LinTimes"/>
                <w:color w:val="auto"/>
                <w:kern w:val="0"/>
                <w:sz w:val="28"/>
                <w:szCs w:val="28"/>
                <w:highlight w:val="none"/>
              </w:rPr>
              <w:t>二级指标</w:t>
            </w:r>
          </w:p>
        </w:tc>
        <w:tc>
          <w:tcPr>
            <w:tcW w:w="2385" w:type="dxa"/>
            <w:vAlign w:val="center"/>
          </w:tcPr>
          <w:p>
            <w:pPr>
              <w:widowControl/>
              <w:jc w:val="center"/>
              <w:rPr>
                <w:rFonts w:ascii="LinTimes" w:hAnsi="LinTimes" w:eastAsia="黑体" w:cs="LinTimes"/>
                <w:color w:val="auto"/>
                <w:kern w:val="0"/>
                <w:sz w:val="28"/>
                <w:szCs w:val="28"/>
                <w:highlight w:val="none"/>
              </w:rPr>
            </w:pPr>
            <w:r>
              <w:rPr>
                <w:rFonts w:ascii="LinTimes" w:hAnsi="LinTimes" w:eastAsia="黑体" w:cs="LinTimes"/>
                <w:color w:val="auto"/>
                <w:kern w:val="0"/>
                <w:sz w:val="28"/>
                <w:szCs w:val="28"/>
                <w:highlight w:val="none"/>
              </w:rPr>
              <w:t>三级指标</w:t>
            </w:r>
          </w:p>
        </w:tc>
        <w:tc>
          <w:tcPr>
            <w:tcW w:w="4950" w:type="dxa"/>
            <w:vAlign w:val="center"/>
          </w:tcPr>
          <w:p>
            <w:pPr>
              <w:widowControl/>
              <w:jc w:val="center"/>
              <w:rPr>
                <w:rFonts w:ascii="LinTimes" w:hAnsi="LinTimes" w:eastAsia="黑体" w:cs="LinTimes"/>
                <w:color w:val="auto"/>
                <w:kern w:val="0"/>
                <w:sz w:val="28"/>
                <w:szCs w:val="28"/>
                <w:highlight w:val="none"/>
              </w:rPr>
            </w:pPr>
            <w:r>
              <w:rPr>
                <w:rFonts w:ascii="LinTimes" w:hAnsi="LinTimes" w:eastAsia="黑体" w:cs="LinTimes"/>
                <w:color w:val="auto"/>
                <w:kern w:val="0"/>
                <w:sz w:val="28"/>
                <w:szCs w:val="28"/>
                <w:highlight w:val="none"/>
              </w:rPr>
              <w:t>指标定义</w:t>
            </w:r>
          </w:p>
        </w:tc>
        <w:tc>
          <w:tcPr>
            <w:tcW w:w="4905" w:type="dxa"/>
            <w:vAlign w:val="center"/>
          </w:tcPr>
          <w:p>
            <w:pPr>
              <w:widowControl/>
              <w:jc w:val="center"/>
              <w:rPr>
                <w:rFonts w:ascii="LinTimes" w:hAnsi="LinTimes" w:eastAsia="黑体" w:cs="LinTimes"/>
                <w:color w:val="auto"/>
                <w:kern w:val="0"/>
                <w:sz w:val="28"/>
                <w:szCs w:val="28"/>
                <w:highlight w:val="none"/>
              </w:rPr>
            </w:pPr>
            <w:r>
              <w:rPr>
                <w:rFonts w:ascii="LinTimes" w:hAnsi="LinTimes" w:eastAsia="黑体" w:cs="LinTimes"/>
                <w:color w:val="auto"/>
                <w:kern w:val="0"/>
                <w:sz w:val="28"/>
                <w:szCs w:val="28"/>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417" w:type="dxa"/>
            <w:vAlign w:val="center"/>
          </w:tcPr>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质量</w:t>
            </w:r>
          </w:p>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安全</w:t>
            </w:r>
          </w:p>
        </w:tc>
        <w:tc>
          <w:tcPr>
            <w:tcW w:w="1417" w:type="dxa"/>
            <w:vAlign w:val="center"/>
          </w:tcPr>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并发症</w:t>
            </w:r>
          </w:p>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发生率</w:t>
            </w:r>
          </w:p>
        </w:tc>
        <w:tc>
          <w:tcPr>
            <w:tcW w:w="2385" w:type="dxa"/>
            <w:vAlign w:val="center"/>
          </w:tcPr>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出院患者并发症发生率</w:t>
            </w:r>
          </w:p>
        </w:tc>
        <w:tc>
          <w:tcPr>
            <w:tcW w:w="4950"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任现职以来，医师诊治的出院患者在住院期间因治疗或者施行某种择期手术或操作而发生并发症的例数占同期医师诊治的出院人数的比例。</w:t>
            </w:r>
          </w:p>
        </w:tc>
        <w:tc>
          <w:tcPr>
            <w:tcW w:w="4905"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任现职以来，医师诊治的出院患者在住院期间因治疗或施行某种择期手术或操作而发生并发症的人数/同期该医师诊治的所有出院人数×100%。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17" w:type="dxa"/>
            <w:vAlign w:val="center"/>
          </w:tcPr>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资源</w:t>
            </w:r>
          </w:p>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利用</w:t>
            </w:r>
          </w:p>
        </w:tc>
        <w:tc>
          <w:tcPr>
            <w:tcW w:w="1417" w:type="dxa"/>
            <w:vAlign w:val="center"/>
          </w:tcPr>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spacing w:val="-23"/>
                <w:kern w:val="0"/>
                <w:sz w:val="28"/>
                <w:szCs w:val="28"/>
                <w:highlight w:val="none"/>
              </w:rPr>
              <w:t>平均住院日</w:t>
            </w:r>
          </w:p>
        </w:tc>
        <w:tc>
          <w:tcPr>
            <w:tcW w:w="2385" w:type="dxa"/>
            <w:vAlign w:val="center"/>
          </w:tcPr>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平均住院日</w:t>
            </w:r>
          </w:p>
        </w:tc>
        <w:tc>
          <w:tcPr>
            <w:tcW w:w="4950"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任现职以来，医师诊治的某病种出院患者平均住院时间。</w:t>
            </w:r>
          </w:p>
        </w:tc>
        <w:tc>
          <w:tcPr>
            <w:tcW w:w="4905"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任现职以来，医师诊治的某病种出院患者占用总床日数/同期该医师诊治的同病种出院人数。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417" w:type="dxa"/>
            <w:vAlign w:val="center"/>
          </w:tcPr>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患者</w:t>
            </w:r>
          </w:p>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管理</w:t>
            </w:r>
          </w:p>
        </w:tc>
        <w:tc>
          <w:tcPr>
            <w:tcW w:w="1417" w:type="dxa"/>
            <w:vAlign w:val="center"/>
          </w:tcPr>
          <w:p>
            <w:pPr>
              <w:widowControl/>
              <w:spacing w:line="44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次均费用</w:t>
            </w:r>
          </w:p>
        </w:tc>
        <w:tc>
          <w:tcPr>
            <w:tcW w:w="2385" w:type="dxa"/>
            <w:vAlign w:val="center"/>
          </w:tcPr>
          <w:p>
            <w:pPr>
              <w:widowControl/>
              <w:spacing w:line="440" w:lineRule="exact"/>
              <w:jc w:val="center"/>
              <w:rPr>
                <w:rFonts w:ascii="仿宋_GB2312" w:hAnsi="仿宋_GB2312" w:eastAsia="仿宋_GB2312" w:cs="仿宋_GB2312"/>
                <w:bCs/>
                <w:color w:val="auto"/>
                <w:spacing w:val="-6"/>
                <w:kern w:val="0"/>
                <w:sz w:val="28"/>
                <w:szCs w:val="28"/>
                <w:highlight w:val="none"/>
              </w:rPr>
            </w:pPr>
            <w:r>
              <w:rPr>
                <w:rFonts w:hint="eastAsia" w:ascii="仿宋_GB2312" w:hAnsi="仿宋_GB2312" w:eastAsia="仿宋_GB2312" w:cs="仿宋_GB2312"/>
                <w:bCs/>
                <w:color w:val="auto"/>
                <w:spacing w:val="-6"/>
                <w:kern w:val="0"/>
                <w:sz w:val="28"/>
                <w:szCs w:val="28"/>
                <w:highlight w:val="none"/>
              </w:rPr>
              <w:t>住院患者次均费用</w:t>
            </w:r>
          </w:p>
        </w:tc>
        <w:tc>
          <w:tcPr>
            <w:tcW w:w="4950"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任现职以来，医师诊治的某病种出院患者平均住院费用。</w:t>
            </w:r>
          </w:p>
        </w:tc>
        <w:tc>
          <w:tcPr>
            <w:tcW w:w="4905" w:type="dxa"/>
            <w:vAlign w:val="center"/>
          </w:tcPr>
          <w:p>
            <w:pPr>
              <w:widowControl/>
              <w:spacing w:line="440" w:lineRule="exac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任现职以来，医师诊治的某病种出院患者总住院费用/同期该医师诊治的同病种出院人数。</w:t>
            </w:r>
          </w:p>
        </w:tc>
      </w:tr>
    </w:tbl>
    <w:p>
      <w:pPr>
        <w:tabs>
          <w:tab w:val="left" w:pos="436"/>
        </w:tabs>
        <w:spacing w:line="560" w:lineRule="exact"/>
        <w:rPr>
          <w:rFonts w:ascii="仿宋_GB2312" w:hAnsi="仿宋_GB2312" w:eastAsia="仿宋_GB2312" w:cs="仿宋_GB2312"/>
          <w:color w:val="auto"/>
          <w:spacing w:val="-2"/>
          <w:sz w:val="32"/>
          <w:szCs w:val="32"/>
          <w:highlight w:val="none"/>
        </w:rPr>
      </w:pPr>
    </w:p>
    <w:sectPr>
      <w:pgSz w:w="16838" w:h="11906" w:orient="landscape"/>
      <w:pgMar w:top="1587" w:right="1871" w:bottom="158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小标宋">
    <w:altName w:val="宋体"/>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LinTimes">
    <w:altName w:val="Times New Roman"/>
    <w:panose1 w:val="00000000000000000000"/>
    <w:charset w:val="00"/>
    <w:family w:val="auto"/>
    <w:pitch w:val="default"/>
    <w:sig w:usb0="00000000" w:usb1="0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ascii="Times New Roman" w:hAnsi="Times New Roman" w:cs="Times New Roman" w:eastAsiaTheme="majorEastAsia"/>
                              <w:sz w:val="22"/>
                              <w:szCs w:val="22"/>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asciiTheme="majorEastAsia" w:hAnsiTheme="majorEastAsia" w:eastAsiaTheme="majorEastAsia" w:cstheme="majorEastAsia"/>
                              <w:sz w:val="24"/>
                              <w:szCs w:val="24"/>
                            </w:rPr>
                            <w:t>28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9264;mso-width-relative:page;mso-height-relative:page;" filled="f" stroked="f" coordsize="21600,21600" o:gfxdata="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QxQHSzMMBESn3p0Qrt&#10;vh347E1xBk1n+jnxlm9qlLJlPjwwh8FA+Xg64R5LKQ1SmsGipDLuy7/OYzz6BS8lDQYtpxrvihL5&#10;XqOPAAyj4UZjPxr6qO4MJhe9QS2diQsuyNEsnVGf8Z5WMQdcTHNkymkYzbvQDzveIxerVReEybMs&#10;bPXO8ggd5fF2dQyQs1M5itIrge7EDWav69PwTuJw/7nvoh7/Dc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9imLNMAAAAGAQAADwAAAAAAAAABACAAAAAiAAAAZHJzL2Rvd25yZXYueG1sUEsBAhQA&#10;FAAAAAgAh07iQFB4HF0wAgAAYwQAAA4AAAAAAAAAAQAgAAAAIgEAAGRycy9lMm9Eb2MueG1sUEsF&#10;BgAAAAAGAAYAWQEAAMQFAAAAAA==&#10;">
              <v:fill on="f" focussize="0,0"/>
              <v:stroke on="f" weight="0.5pt"/>
              <v:imagedata o:title=""/>
              <o:lock v:ext="edit" aspectratio="f"/>
              <v:textbox inset="0mm,0mm,0mm,0mm" style="mso-fit-shape-to-text:t;">
                <w:txbxContent>
                  <w:p>
                    <w:pPr>
                      <w:pStyle w:val="7"/>
                      <w:rPr>
                        <w:rFonts w:ascii="Times New Roman" w:hAnsi="Times New Roman" w:cs="Times New Roman" w:eastAsiaTheme="majorEastAsia"/>
                        <w:sz w:val="22"/>
                        <w:szCs w:val="22"/>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asciiTheme="majorEastAsia" w:hAnsiTheme="majorEastAsia" w:eastAsiaTheme="majorEastAsia" w:cstheme="majorEastAsia"/>
                        <w:sz w:val="24"/>
                        <w:szCs w:val="24"/>
                      </w:rPr>
                      <w:t>28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YjlhMDRjYmFjNmU0ZmRhNDJiZjEwZWFiYTFiZjkifQ=="/>
  </w:docVars>
  <w:rsids>
    <w:rsidRoot w:val="4D68519A"/>
    <w:rsid w:val="00041F44"/>
    <w:rsid w:val="00195C22"/>
    <w:rsid w:val="002274E7"/>
    <w:rsid w:val="00244E97"/>
    <w:rsid w:val="00280D2A"/>
    <w:rsid w:val="002C6635"/>
    <w:rsid w:val="002D6DB7"/>
    <w:rsid w:val="00333583"/>
    <w:rsid w:val="0037174C"/>
    <w:rsid w:val="00371A32"/>
    <w:rsid w:val="003C32E7"/>
    <w:rsid w:val="004207C1"/>
    <w:rsid w:val="00476FFB"/>
    <w:rsid w:val="004857EE"/>
    <w:rsid w:val="00542A41"/>
    <w:rsid w:val="00597B2C"/>
    <w:rsid w:val="006115B0"/>
    <w:rsid w:val="00612925"/>
    <w:rsid w:val="006C6B06"/>
    <w:rsid w:val="007068D4"/>
    <w:rsid w:val="0072551E"/>
    <w:rsid w:val="00756EF4"/>
    <w:rsid w:val="007609F3"/>
    <w:rsid w:val="00767A29"/>
    <w:rsid w:val="007C1C48"/>
    <w:rsid w:val="007F2C37"/>
    <w:rsid w:val="00800BC3"/>
    <w:rsid w:val="00804962"/>
    <w:rsid w:val="00920F4E"/>
    <w:rsid w:val="00930490"/>
    <w:rsid w:val="00980A5E"/>
    <w:rsid w:val="009C3AE9"/>
    <w:rsid w:val="009E4761"/>
    <w:rsid w:val="00A55203"/>
    <w:rsid w:val="00A56305"/>
    <w:rsid w:val="00A6779D"/>
    <w:rsid w:val="00AC0974"/>
    <w:rsid w:val="00AC5503"/>
    <w:rsid w:val="00AD4A34"/>
    <w:rsid w:val="00AF2FCB"/>
    <w:rsid w:val="00B24E80"/>
    <w:rsid w:val="00B2629E"/>
    <w:rsid w:val="00B73FE5"/>
    <w:rsid w:val="00B84DC4"/>
    <w:rsid w:val="00C33D25"/>
    <w:rsid w:val="00C84F74"/>
    <w:rsid w:val="00DF291D"/>
    <w:rsid w:val="00DF5C95"/>
    <w:rsid w:val="00E3388E"/>
    <w:rsid w:val="00E33D0A"/>
    <w:rsid w:val="00E34DC8"/>
    <w:rsid w:val="00E702F2"/>
    <w:rsid w:val="00E7658B"/>
    <w:rsid w:val="00EA1C13"/>
    <w:rsid w:val="00EB382D"/>
    <w:rsid w:val="00EF3AF0"/>
    <w:rsid w:val="00FC308D"/>
    <w:rsid w:val="00FC40E5"/>
    <w:rsid w:val="00FF70DB"/>
    <w:rsid w:val="010277B7"/>
    <w:rsid w:val="010B1E52"/>
    <w:rsid w:val="01140DCF"/>
    <w:rsid w:val="01255B68"/>
    <w:rsid w:val="0133706D"/>
    <w:rsid w:val="014D15BD"/>
    <w:rsid w:val="015C408B"/>
    <w:rsid w:val="015C4844"/>
    <w:rsid w:val="015E3C4A"/>
    <w:rsid w:val="016B41EF"/>
    <w:rsid w:val="017741A6"/>
    <w:rsid w:val="017C0EEC"/>
    <w:rsid w:val="017D6279"/>
    <w:rsid w:val="018A01BA"/>
    <w:rsid w:val="018E4CC7"/>
    <w:rsid w:val="0196584D"/>
    <w:rsid w:val="01A150A3"/>
    <w:rsid w:val="01A44914"/>
    <w:rsid w:val="01DE65B9"/>
    <w:rsid w:val="01E14917"/>
    <w:rsid w:val="01E36320"/>
    <w:rsid w:val="01E67B69"/>
    <w:rsid w:val="02001055"/>
    <w:rsid w:val="0209371B"/>
    <w:rsid w:val="020E2CB8"/>
    <w:rsid w:val="021C5AA4"/>
    <w:rsid w:val="02243890"/>
    <w:rsid w:val="02334A58"/>
    <w:rsid w:val="023B29D6"/>
    <w:rsid w:val="024100E2"/>
    <w:rsid w:val="02410A33"/>
    <w:rsid w:val="02464F0D"/>
    <w:rsid w:val="02525CBC"/>
    <w:rsid w:val="02574AF8"/>
    <w:rsid w:val="02721E35"/>
    <w:rsid w:val="027B42F0"/>
    <w:rsid w:val="02806062"/>
    <w:rsid w:val="028578AA"/>
    <w:rsid w:val="0286091C"/>
    <w:rsid w:val="0288232C"/>
    <w:rsid w:val="02D01408"/>
    <w:rsid w:val="02D52243"/>
    <w:rsid w:val="030065C7"/>
    <w:rsid w:val="03130B46"/>
    <w:rsid w:val="0313626C"/>
    <w:rsid w:val="0324524F"/>
    <w:rsid w:val="03311118"/>
    <w:rsid w:val="033658A0"/>
    <w:rsid w:val="0340529C"/>
    <w:rsid w:val="034F0FBD"/>
    <w:rsid w:val="036E547B"/>
    <w:rsid w:val="03800619"/>
    <w:rsid w:val="039F0C66"/>
    <w:rsid w:val="03A50305"/>
    <w:rsid w:val="03AD0866"/>
    <w:rsid w:val="03BB24FD"/>
    <w:rsid w:val="03C54B28"/>
    <w:rsid w:val="03C94FAC"/>
    <w:rsid w:val="03CD5CA2"/>
    <w:rsid w:val="03CD7D6B"/>
    <w:rsid w:val="03D1765F"/>
    <w:rsid w:val="03F82E29"/>
    <w:rsid w:val="0409035C"/>
    <w:rsid w:val="040F6488"/>
    <w:rsid w:val="04192DA6"/>
    <w:rsid w:val="04217345"/>
    <w:rsid w:val="042841FB"/>
    <w:rsid w:val="042A6120"/>
    <w:rsid w:val="04304BE9"/>
    <w:rsid w:val="043325CA"/>
    <w:rsid w:val="044D592F"/>
    <w:rsid w:val="045E5E90"/>
    <w:rsid w:val="04617435"/>
    <w:rsid w:val="04626534"/>
    <w:rsid w:val="04801B25"/>
    <w:rsid w:val="04903DE4"/>
    <w:rsid w:val="04A74045"/>
    <w:rsid w:val="04BD2BFB"/>
    <w:rsid w:val="04E531A2"/>
    <w:rsid w:val="04EE6D08"/>
    <w:rsid w:val="04F363A5"/>
    <w:rsid w:val="050811A8"/>
    <w:rsid w:val="05175323"/>
    <w:rsid w:val="0529215D"/>
    <w:rsid w:val="052E121E"/>
    <w:rsid w:val="053C5A4A"/>
    <w:rsid w:val="05590EAE"/>
    <w:rsid w:val="055A2E62"/>
    <w:rsid w:val="055E7B54"/>
    <w:rsid w:val="057B7356"/>
    <w:rsid w:val="05913B17"/>
    <w:rsid w:val="05940357"/>
    <w:rsid w:val="059B0EBD"/>
    <w:rsid w:val="059E7D8F"/>
    <w:rsid w:val="05B21191"/>
    <w:rsid w:val="05B75D33"/>
    <w:rsid w:val="05B81C23"/>
    <w:rsid w:val="05BB3C28"/>
    <w:rsid w:val="05CB4EAA"/>
    <w:rsid w:val="05D57990"/>
    <w:rsid w:val="05D627A6"/>
    <w:rsid w:val="05D84E53"/>
    <w:rsid w:val="05E77277"/>
    <w:rsid w:val="05EF6858"/>
    <w:rsid w:val="06186BB8"/>
    <w:rsid w:val="0619492B"/>
    <w:rsid w:val="06356D7C"/>
    <w:rsid w:val="063B2CDD"/>
    <w:rsid w:val="0658636D"/>
    <w:rsid w:val="065A574A"/>
    <w:rsid w:val="067636A6"/>
    <w:rsid w:val="06783643"/>
    <w:rsid w:val="067A1DE3"/>
    <w:rsid w:val="067B127C"/>
    <w:rsid w:val="067B22CF"/>
    <w:rsid w:val="06814D66"/>
    <w:rsid w:val="068F01C4"/>
    <w:rsid w:val="06A05FF0"/>
    <w:rsid w:val="06BA6660"/>
    <w:rsid w:val="06F11906"/>
    <w:rsid w:val="06F837CC"/>
    <w:rsid w:val="070A3811"/>
    <w:rsid w:val="07122536"/>
    <w:rsid w:val="07140CA6"/>
    <w:rsid w:val="07161027"/>
    <w:rsid w:val="072B2106"/>
    <w:rsid w:val="072E3C90"/>
    <w:rsid w:val="074C0ABC"/>
    <w:rsid w:val="07613ADC"/>
    <w:rsid w:val="076D263E"/>
    <w:rsid w:val="07703882"/>
    <w:rsid w:val="07844A3A"/>
    <w:rsid w:val="078F0F8B"/>
    <w:rsid w:val="07AE1FAC"/>
    <w:rsid w:val="07B4195B"/>
    <w:rsid w:val="07B47077"/>
    <w:rsid w:val="07E605BE"/>
    <w:rsid w:val="07EB5C2A"/>
    <w:rsid w:val="08014C66"/>
    <w:rsid w:val="08086D28"/>
    <w:rsid w:val="081771ED"/>
    <w:rsid w:val="08183D80"/>
    <w:rsid w:val="082A293F"/>
    <w:rsid w:val="083B11A5"/>
    <w:rsid w:val="083F6A95"/>
    <w:rsid w:val="084E1DBA"/>
    <w:rsid w:val="085126C2"/>
    <w:rsid w:val="085710AE"/>
    <w:rsid w:val="0891437B"/>
    <w:rsid w:val="08A22F4E"/>
    <w:rsid w:val="08AD15EF"/>
    <w:rsid w:val="08AF07F1"/>
    <w:rsid w:val="08B55B2F"/>
    <w:rsid w:val="08BC2679"/>
    <w:rsid w:val="08D041B4"/>
    <w:rsid w:val="08DF71B2"/>
    <w:rsid w:val="08F31B8E"/>
    <w:rsid w:val="08F60C88"/>
    <w:rsid w:val="090059E9"/>
    <w:rsid w:val="09073B29"/>
    <w:rsid w:val="09133AB4"/>
    <w:rsid w:val="09183409"/>
    <w:rsid w:val="091D32B9"/>
    <w:rsid w:val="093F45B6"/>
    <w:rsid w:val="095C1178"/>
    <w:rsid w:val="095F7BF5"/>
    <w:rsid w:val="09625812"/>
    <w:rsid w:val="09773E0E"/>
    <w:rsid w:val="097E49EB"/>
    <w:rsid w:val="09853104"/>
    <w:rsid w:val="09A82D40"/>
    <w:rsid w:val="09A8597E"/>
    <w:rsid w:val="09E04E38"/>
    <w:rsid w:val="09E27D5D"/>
    <w:rsid w:val="0A113225"/>
    <w:rsid w:val="0A13643B"/>
    <w:rsid w:val="0A3C01A5"/>
    <w:rsid w:val="0A3E668F"/>
    <w:rsid w:val="0A480403"/>
    <w:rsid w:val="0A4A77C6"/>
    <w:rsid w:val="0A566B42"/>
    <w:rsid w:val="0A663283"/>
    <w:rsid w:val="0A740A42"/>
    <w:rsid w:val="0A761CDE"/>
    <w:rsid w:val="0A8C65FD"/>
    <w:rsid w:val="0AA11463"/>
    <w:rsid w:val="0AA95BD2"/>
    <w:rsid w:val="0AAB7C1E"/>
    <w:rsid w:val="0AB8486A"/>
    <w:rsid w:val="0AC356AF"/>
    <w:rsid w:val="0AF938ED"/>
    <w:rsid w:val="0AFD131E"/>
    <w:rsid w:val="0B0E7B4A"/>
    <w:rsid w:val="0B2C7EA1"/>
    <w:rsid w:val="0B337023"/>
    <w:rsid w:val="0B525841"/>
    <w:rsid w:val="0B59225C"/>
    <w:rsid w:val="0B7506CC"/>
    <w:rsid w:val="0B76249A"/>
    <w:rsid w:val="0B905884"/>
    <w:rsid w:val="0B924C56"/>
    <w:rsid w:val="0BA61DAE"/>
    <w:rsid w:val="0BB7011A"/>
    <w:rsid w:val="0BC20E5B"/>
    <w:rsid w:val="0BCD3106"/>
    <w:rsid w:val="0BE727C2"/>
    <w:rsid w:val="0BE86614"/>
    <w:rsid w:val="0BEA6446"/>
    <w:rsid w:val="0BFD0FA1"/>
    <w:rsid w:val="0BFD5294"/>
    <w:rsid w:val="0C026D4E"/>
    <w:rsid w:val="0C216602"/>
    <w:rsid w:val="0C34265F"/>
    <w:rsid w:val="0C3E0955"/>
    <w:rsid w:val="0C4D3197"/>
    <w:rsid w:val="0C507C41"/>
    <w:rsid w:val="0C5D3759"/>
    <w:rsid w:val="0C6C6F49"/>
    <w:rsid w:val="0C7173E6"/>
    <w:rsid w:val="0C746E9B"/>
    <w:rsid w:val="0C88114D"/>
    <w:rsid w:val="0C8B4D6B"/>
    <w:rsid w:val="0C947942"/>
    <w:rsid w:val="0CB813C5"/>
    <w:rsid w:val="0CE630FA"/>
    <w:rsid w:val="0CE75409"/>
    <w:rsid w:val="0D04510B"/>
    <w:rsid w:val="0D1345DD"/>
    <w:rsid w:val="0D2678C2"/>
    <w:rsid w:val="0D366CD3"/>
    <w:rsid w:val="0D477854"/>
    <w:rsid w:val="0D5806D1"/>
    <w:rsid w:val="0D6912B2"/>
    <w:rsid w:val="0D8B5232"/>
    <w:rsid w:val="0DA56CB8"/>
    <w:rsid w:val="0DA9060F"/>
    <w:rsid w:val="0DAF1B57"/>
    <w:rsid w:val="0DCE55CC"/>
    <w:rsid w:val="0DDE0AB7"/>
    <w:rsid w:val="0E0A03C5"/>
    <w:rsid w:val="0E16634B"/>
    <w:rsid w:val="0E1B7A09"/>
    <w:rsid w:val="0E1C5F13"/>
    <w:rsid w:val="0E2834A5"/>
    <w:rsid w:val="0E2B2722"/>
    <w:rsid w:val="0E2C6E50"/>
    <w:rsid w:val="0E2E659B"/>
    <w:rsid w:val="0E304B50"/>
    <w:rsid w:val="0E421C31"/>
    <w:rsid w:val="0E475015"/>
    <w:rsid w:val="0E5F34A2"/>
    <w:rsid w:val="0E734F42"/>
    <w:rsid w:val="0E7B260B"/>
    <w:rsid w:val="0E7D7C3C"/>
    <w:rsid w:val="0EB67A6E"/>
    <w:rsid w:val="0EE67319"/>
    <w:rsid w:val="0EEC5A07"/>
    <w:rsid w:val="0EF31BDB"/>
    <w:rsid w:val="0F056CD6"/>
    <w:rsid w:val="0F0E4549"/>
    <w:rsid w:val="0F3B0390"/>
    <w:rsid w:val="0F5462E5"/>
    <w:rsid w:val="0F60186A"/>
    <w:rsid w:val="0F662873"/>
    <w:rsid w:val="0F755D2E"/>
    <w:rsid w:val="0F8D0A5E"/>
    <w:rsid w:val="0FA765D6"/>
    <w:rsid w:val="0FA92DCC"/>
    <w:rsid w:val="0FAC713D"/>
    <w:rsid w:val="0FB10ECF"/>
    <w:rsid w:val="0FD1083E"/>
    <w:rsid w:val="0FD30955"/>
    <w:rsid w:val="0FDE6AD2"/>
    <w:rsid w:val="0FE43D25"/>
    <w:rsid w:val="0FFB0605"/>
    <w:rsid w:val="100536AD"/>
    <w:rsid w:val="100B33A0"/>
    <w:rsid w:val="101166A1"/>
    <w:rsid w:val="10151177"/>
    <w:rsid w:val="101C1B6E"/>
    <w:rsid w:val="101D6B2C"/>
    <w:rsid w:val="102A4F99"/>
    <w:rsid w:val="102B244B"/>
    <w:rsid w:val="10397C88"/>
    <w:rsid w:val="10423B4C"/>
    <w:rsid w:val="105338C9"/>
    <w:rsid w:val="107E783C"/>
    <w:rsid w:val="10983678"/>
    <w:rsid w:val="10A724F1"/>
    <w:rsid w:val="10AC57C3"/>
    <w:rsid w:val="10B34113"/>
    <w:rsid w:val="10CF5EE8"/>
    <w:rsid w:val="10F73620"/>
    <w:rsid w:val="10FB3AC4"/>
    <w:rsid w:val="10FD2F5F"/>
    <w:rsid w:val="11012AD5"/>
    <w:rsid w:val="1108532D"/>
    <w:rsid w:val="113D59BF"/>
    <w:rsid w:val="114F6800"/>
    <w:rsid w:val="116670CA"/>
    <w:rsid w:val="118606B7"/>
    <w:rsid w:val="119007D2"/>
    <w:rsid w:val="119914B6"/>
    <w:rsid w:val="11AC4088"/>
    <w:rsid w:val="11AD6162"/>
    <w:rsid w:val="11DA36D7"/>
    <w:rsid w:val="11DE343E"/>
    <w:rsid w:val="11E62CFA"/>
    <w:rsid w:val="11FA2ADA"/>
    <w:rsid w:val="12170796"/>
    <w:rsid w:val="12217FEF"/>
    <w:rsid w:val="12247A4F"/>
    <w:rsid w:val="122A0554"/>
    <w:rsid w:val="12414612"/>
    <w:rsid w:val="1256044D"/>
    <w:rsid w:val="12684E1F"/>
    <w:rsid w:val="126A6424"/>
    <w:rsid w:val="12723C61"/>
    <w:rsid w:val="127A03B8"/>
    <w:rsid w:val="127C48AE"/>
    <w:rsid w:val="127F1EC3"/>
    <w:rsid w:val="1286653E"/>
    <w:rsid w:val="12A00A4B"/>
    <w:rsid w:val="12A66740"/>
    <w:rsid w:val="12A749A9"/>
    <w:rsid w:val="12B36A5C"/>
    <w:rsid w:val="12CA3174"/>
    <w:rsid w:val="13055281"/>
    <w:rsid w:val="13066603"/>
    <w:rsid w:val="13123231"/>
    <w:rsid w:val="1316186A"/>
    <w:rsid w:val="131A6A89"/>
    <w:rsid w:val="132752DF"/>
    <w:rsid w:val="132E688E"/>
    <w:rsid w:val="133F561D"/>
    <w:rsid w:val="135F024F"/>
    <w:rsid w:val="137C5844"/>
    <w:rsid w:val="1386686B"/>
    <w:rsid w:val="13C425D2"/>
    <w:rsid w:val="13FE0338"/>
    <w:rsid w:val="14087366"/>
    <w:rsid w:val="140E7C1A"/>
    <w:rsid w:val="14163BBB"/>
    <w:rsid w:val="14175BA0"/>
    <w:rsid w:val="144F12C3"/>
    <w:rsid w:val="14710D05"/>
    <w:rsid w:val="1485469C"/>
    <w:rsid w:val="14985D70"/>
    <w:rsid w:val="14B03071"/>
    <w:rsid w:val="14B76B3E"/>
    <w:rsid w:val="14DA222D"/>
    <w:rsid w:val="14DA6056"/>
    <w:rsid w:val="14DC56CB"/>
    <w:rsid w:val="15037FC6"/>
    <w:rsid w:val="15146C16"/>
    <w:rsid w:val="154B7573"/>
    <w:rsid w:val="154C5B53"/>
    <w:rsid w:val="155709FB"/>
    <w:rsid w:val="156744E1"/>
    <w:rsid w:val="15691252"/>
    <w:rsid w:val="15786CF1"/>
    <w:rsid w:val="15C00E92"/>
    <w:rsid w:val="15C32227"/>
    <w:rsid w:val="15D32F64"/>
    <w:rsid w:val="15E43FFA"/>
    <w:rsid w:val="15E45EB9"/>
    <w:rsid w:val="15FB0FD1"/>
    <w:rsid w:val="160903D4"/>
    <w:rsid w:val="161023EE"/>
    <w:rsid w:val="161B7A89"/>
    <w:rsid w:val="161C2E77"/>
    <w:rsid w:val="16312E52"/>
    <w:rsid w:val="163B36D3"/>
    <w:rsid w:val="163B5E43"/>
    <w:rsid w:val="1644284E"/>
    <w:rsid w:val="16601E6A"/>
    <w:rsid w:val="166250B9"/>
    <w:rsid w:val="16657C75"/>
    <w:rsid w:val="16713EE6"/>
    <w:rsid w:val="168160DA"/>
    <w:rsid w:val="16910325"/>
    <w:rsid w:val="16935A8D"/>
    <w:rsid w:val="16BE75E2"/>
    <w:rsid w:val="16D61747"/>
    <w:rsid w:val="16DE1907"/>
    <w:rsid w:val="16E52138"/>
    <w:rsid w:val="16E55F75"/>
    <w:rsid w:val="16E656BC"/>
    <w:rsid w:val="17002C8D"/>
    <w:rsid w:val="17072676"/>
    <w:rsid w:val="1723398D"/>
    <w:rsid w:val="173B6AFF"/>
    <w:rsid w:val="174444AF"/>
    <w:rsid w:val="174A1EC6"/>
    <w:rsid w:val="175137D5"/>
    <w:rsid w:val="17570EB7"/>
    <w:rsid w:val="17672A66"/>
    <w:rsid w:val="177A5408"/>
    <w:rsid w:val="1784440A"/>
    <w:rsid w:val="17922FAA"/>
    <w:rsid w:val="1795532C"/>
    <w:rsid w:val="17A664A5"/>
    <w:rsid w:val="17AB6D8A"/>
    <w:rsid w:val="17B1354A"/>
    <w:rsid w:val="17C03986"/>
    <w:rsid w:val="17CD219D"/>
    <w:rsid w:val="17DA41B6"/>
    <w:rsid w:val="17DF7191"/>
    <w:rsid w:val="17E27707"/>
    <w:rsid w:val="17E90D97"/>
    <w:rsid w:val="17FD4326"/>
    <w:rsid w:val="1803199D"/>
    <w:rsid w:val="18050474"/>
    <w:rsid w:val="181B0DFC"/>
    <w:rsid w:val="181E353B"/>
    <w:rsid w:val="183B1C23"/>
    <w:rsid w:val="184E28F8"/>
    <w:rsid w:val="185556D4"/>
    <w:rsid w:val="18724961"/>
    <w:rsid w:val="18865C2D"/>
    <w:rsid w:val="188B64AB"/>
    <w:rsid w:val="189027B8"/>
    <w:rsid w:val="1891500E"/>
    <w:rsid w:val="18931CC3"/>
    <w:rsid w:val="189445DF"/>
    <w:rsid w:val="18A03053"/>
    <w:rsid w:val="18BF4638"/>
    <w:rsid w:val="18C2628B"/>
    <w:rsid w:val="18EA60E3"/>
    <w:rsid w:val="18F50CBF"/>
    <w:rsid w:val="19071133"/>
    <w:rsid w:val="190A50B6"/>
    <w:rsid w:val="192A02C0"/>
    <w:rsid w:val="192C1FF1"/>
    <w:rsid w:val="19394DF8"/>
    <w:rsid w:val="193A4A1C"/>
    <w:rsid w:val="193D4461"/>
    <w:rsid w:val="193F1A70"/>
    <w:rsid w:val="19660654"/>
    <w:rsid w:val="196B419E"/>
    <w:rsid w:val="198C53B8"/>
    <w:rsid w:val="1999452D"/>
    <w:rsid w:val="19A10281"/>
    <w:rsid w:val="19A35AB9"/>
    <w:rsid w:val="19A9539C"/>
    <w:rsid w:val="19B0796A"/>
    <w:rsid w:val="19CB5837"/>
    <w:rsid w:val="19CC7953"/>
    <w:rsid w:val="19CF6FA1"/>
    <w:rsid w:val="19E66818"/>
    <w:rsid w:val="19EC5119"/>
    <w:rsid w:val="19FF4285"/>
    <w:rsid w:val="1A116E36"/>
    <w:rsid w:val="1A220B6E"/>
    <w:rsid w:val="1A235E13"/>
    <w:rsid w:val="1A3E015F"/>
    <w:rsid w:val="1A737A29"/>
    <w:rsid w:val="1A771210"/>
    <w:rsid w:val="1A814623"/>
    <w:rsid w:val="1A8960BC"/>
    <w:rsid w:val="1AAB15AE"/>
    <w:rsid w:val="1AAB3803"/>
    <w:rsid w:val="1AAE4E76"/>
    <w:rsid w:val="1AB03312"/>
    <w:rsid w:val="1AB431EE"/>
    <w:rsid w:val="1AB62458"/>
    <w:rsid w:val="1AC36436"/>
    <w:rsid w:val="1AD06E6C"/>
    <w:rsid w:val="1AD3369B"/>
    <w:rsid w:val="1AD47593"/>
    <w:rsid w:val="1AD84EFA"/>
    <w:rsid w:val="1AE74C3B"/>
    <w:rsid w:val="1AF3233C"/>
    <w:rsid w:val="1AFC47A0"/>
    <w:rsid w:val="1B0D647F"/>
    <w:rsid w:val="1B184C7F"/>
    <w:rsid w:val="1B1A5B80"/>
    <w:rsid w:val="1B2E3EA2"/>
    <w:rsid w:val="1B39584F"/>
    <w:rsid w:val="1B3F3D01"/>
    <w:rsid w:val="1B4637FD"/>
    <w:rsid w:val="1B6C0BB1"/>
    <w:rsid w:val="1B6E2594"/>
    <w:rsid w:val="1BD04546"/>
    <w:rsid w:val="1BD204DA"/>
    <w:rsid w:val="1BE63401"/>
    <w:rsid w:val="1BFC5882"/>
    <w:rsid w:val="1BFD2815"/>
    <w:rsid w:val="1C001E34"/>
    <w:rsid w:val="1C034AE3"/>
    <w:rsid w:val="1C0B7C32"/>
    <w:rsid w:val="1C1926E9"/>
    <w:rsid w:val="1C277FBB"/>
    <w:rsid w:val="1C2F6B76"/>
    <w:rsid w:val="1C347D1C"/>
    <w:rsid w:val="1C416BD0"/>
    <w:rsid w:val="1C426A9C"/>
    <w:rsid w:val="1C517BD5"/>
    <w:rsid w:val="1C5233A7"/>
    <w:rsid w:val="1C5610AB"/>
    <w:rsid w:val="1C585BC4"/>
    <w:rsid w:val="1C7B4313"/>
    <w:rsid w:val="1C842A4F"/>
    <w:rsid w:val="1CA75C55"/>
    <w:rsid w:val="1CAA676A"/>
    <w:rsid w:val="1CAC735F"/>
    <w:rsid w:val="1CB61B5A"/>
    <w:rsid w:val="1CC27E94"/>
    <w:rsid w:val="1CC844F6"/>
    <w:rsid w:val="1CCF2E59"/>
    <w:rsid w:val="1CD21068"/>
    <w:rsid w:val="1CD53317"/>
    <w:rsid w:val="1CD61F2D"/>
    <w:rsid w:val="1CD74261"/>
    <w:rsid w:val="1CDB7A60"/>
    <w:rsid w:val="1CDC6E93"/>
    <w:rsid w:val="1CDF6CF6"/>
    <w:rsid w:val="1CF431A4"/>
    <w:rsid w:val="1CFB4D1D"/>
    <w:rsid w:val="1D0443E2"/>
    <w:rsid w:val="1D067C1C"/>
    <w:rsid w:val="1D1E3498"/>
    <w:rsid w:val="1D1F2C1E"/>
    <w:rsid w:val="1D245DFA"/>
    <w:rsid w:val="1D4E421B"/>
    <w:rsid w:val="1D5C7032"/>
    <w:rsid w:val="1D726287"/>
    <w:rsid w:val="1DAA36E9"/>
    <w:rsid w:val="1DC3554C"/>
    <w:rsid w:val="1DCE1F76"/>
    <w:rsid w:val="1DCE5471"/>
    <w:rsid w:val="1DE57E65"/>
    <w:rsid w:val="1DF408B1"/>
    <w:rsid w:val="1DF65A42"/>
    <w:rsid w:val="1E042C84"/>
    <w:rsid w:val="1E044FEA"/>
    <w:rsid w:val="1E2876E1"/>
    <w:rsid w:val="1E44481E"/>
    <w:rsid w:val="1E4C4703"/>
    <w:rsid w:val="1E4D211B"/>
    <w:rsid w:val="1E6D3962"/>
    <w:rsid w:val="1E870A1B"/>
    <w:rsid w:val="1E8B47B4"/>
    <w:rsid w:val="1E9B5B3D"/>
    <w:rsid w:val="1EA165F5"/>
    <w:rsid w:val="1EA63CB0"/>
    <w:rsid w:val="1EA72518"/>
    <w:rsid w:val="1EA85FCF"/>
    <w:rsid w:val="1EC27B50"/>
    <w:rsid w:val="1ED81A82"/>
    <w:rsid w:val="1EDF8CF8"/>
    <w:rsid w:val="1EF335BA"/>
    <w:rsid w:val="1EF575E2"/>
    <w:rsid w:val="1EF654FB"/>
    <w:rsid w:val="1F026C41"/>
    <w:rsid w:val="1F030251"/>
    <w:rsid w:val="1F095E55"/>
    <w:rsid w:val="1F136036"/>
    <w:rsid w:val="1F152E28"/>
    <w:rsid w:val="1F173CD5"/>
    <w:rsid w:val="1F1D4F6D"/>
    <w:rsid w:val="1F201900"/>
    <w:rsid w:val="1F372321"/>
    <w:rsid w:val="1F654A90"/>
    <w:rsid w:val="1F675B8C"/>
    <w:rsid w:val="1F6C0459"/>
    <w:rsid w:val="1F6D7979"/>
    <w:rsid w:val="1F836D4F"/>
    <w:rsid w:val="1F8520D9"/>
    <w:rsid w:val="1F863868"/>
    <w:rsid w:val="1F8D0DED"/>
    <w:rsid w:val="1F9D2663"/>
    <w:rsid w:val="1F9F007C"/>
    <w:rsid w:val="1FAF4852"/>
    <w:rsid w:val="1FB60F34"/>
    <w:rsid w:val="1FCB2CFF"/>
    <w:rsid w:val="1FD236DF"/>
    <w:rsid w:val="1FE15B42"/>
    <w:rsid w:val="1FEA0F57"/>
    <w:rsid w:val="1FEB14A5"/>
    <w:rsid w:val="1FEE6363"/>
    <w:rsid w:val="1FF4504B"/>
    <w:rsid w:val="1FF73E06"/>
    <w:rsid w:val="201B09F7"/>
    <w:rsid w:val="201B514B"/>
    <w:rsid w:val="20286F8A"/>
    <w:rsid w:val="20380007"/>
    <w:rsid w:val="203C7EC4"/>
    <w:rsid w:val="20854C1A"/>
    <w:rsid w:val="208B1947"/>
    <w:rsid w:val="209A0C72"/>
    <w:rsid w:val="20A032F3"/>
    <w:rsid w:val="20CE3C99"/>
    <w:rsid w:val="20CE40AB"/>
    <w:rsid w:val="20D575FB"/>
    <w:rsid w:val="20DD0E2B"/>
    <w:rsid w:val="20E071E6"/>
    <w:rsid w:val="20E214DA"/>
    <w:rsid w:val="20FD19B4"/>
    <w:rsid w:val="20FE1070"/>
    <w:rsid w:val="21132792"/>
    <w:rsid w:val="21183810"/>
    <w:rsid w:val="212A6F01"/>
    <w:rsid w:val="2136294F"/>
    <w:rsid w:val="213E4233"/>
    <w:rsid w:val="214A0B17"/>
    <w:rsid w:val="21525231"/>
    <w:rsid w:val="21672FE8"/>
    <w:rsid w:val="21837D58"/>
    <w:rsid w:val="218E12FE"/>
    <w:rsid w:val="2192254B"/>
    <w:rsid w:val="219E6929"/>
    <w:rsid w:val="21B61145"/>
    <w:rsid w:val="21BE60FE"/>
    <w:rsid w:val="21BE790D"/>
    <w:rsid w:val="21E3475A"/>
    <w:rsid w:val="22140778"/>
    <w:rsid w:val="221E6A0E"/>
    <w:rsid w:val="22242CBF"/>
    <w:rsid w:val="223A3206"/>
    <w:rsid w:val="22497FED"/>
    <w:rsid w:val="224A7116"/>
    <w:rsid w:val="22746BE4"/>
    <w:rsid w:val="228E146E"/>
    <w:rsid w:val="228F10C9"/>
    <w:rsid w:val="22941517"/>
    <w:rsid w:val="229B202B"/>
    <w:rsid w:val="22A97410"/>
    <w:rsid w:val="22BA5DE4"/>
    <w:rsid w:val="22BB0E32"/>
    <w:rsid w:val="22C72523"/>
    <w:rsid w:val="22CB34B5"/>
    <w:rsid w:val="22D343E1"/>
    <w:rsid w:val="2308341A"/>
    <w:rsid w:val="230A190F"/>
    <w:rsid w:val="231D0039"/>
    <w:rsid w:val="23281F26"/>
    <w:rsid w:val="232F15BF"/>
    <w:rsid w:val="233B74D1"/>
    <w:rsid w:val="23406E01"/>
    <w:rsid w:val="236D38D3"/>
    <w:rsid w:val="23796629"/>
    <w:rsid w:val="238B1537"/>
    <w:rsid w:val="238C6EAF"/>
    <w:rsid w:val="23917A1D"/>
    <w:rsid w:val="239D7E68"/>
    <w:rsid w:val="23A243C9"/>
    <w:rsid w:val="23C33E80"/>
    <w:rsid w:val="23CC3C52"/>
    <w:rsid w:val="23EA4E6A"/>
    <w:rsid w:val="23F938C7"/>
    <w:rsid w:val="24177743"/>
    <w:rsid w:val="24257E1D"/>
    <w:rsid w:val="24363335"/>
    <w:rsid w:val="243C4CF8"/>
    <w:rsid w:val="24425A64"/>
    <w:rsid w:val="24465F26"/>
    <w:rsid w:val="24472331"/>
    <w:rsid w:val="246C50F2"/>
    <w:rsid w:val="2485231C"/>
    <w:rsid w:val="24A259BB"/>
    <w:rsid w:val="24A5212C"/>
    <w:rsid w:val="24E026E3"/>
    <w:rsid w:val="24E4416F"/>
    <w:rsid w:val="25011B8B"/>
    <w:rsid w:val="250160E2"/>
    <w:rsid w:val="25082BE6"/>
    <w:rsid w:val="253C4366"/>
    <w:rsid w:val="255F189D"/>
    <w:rsid w:val="256177C7"/>
    <w:rsid w:val="25777AC6"/>
    <w:rsid w:val="259076ED"/>
    <w:rsid w:val="259A2D5E"/>
    <w:rsid w:val="259B31FD"/>
    <w:rsid w:val="259B5132"/>
    <w:rsid w:val="25A3586B"/>
    <w:rsid w:val="25AC5C53"/>
    <w:rsid w:val="25B67942"/>
    <w:rsid w:val="25BD63BB"/>
    <w:rsid w:val="25CE7F65"/>
    <w:rsid w:val="25ED7DB1"/>
    <w:rsid w:val="25F61AC7"/>
    <w:rsid w:val="25FA1CC1"/>
    <w:rsid w:val="26024192"/>
    <w:rsid w:val="260B10FC"/>
    <w:rsid w:val="26191EC1"/>
    <w:rsid w:val="26192727"/>
    <w:rsid w:val="261D33D7"/>
    <w:rsid w:val="261D4BC0"/>
    <w:rsid w:val="26301782"/>
    <w:rsid w:val="263259F3"/>
    <w:rsid w:val="26386CA1"/>
    <w:rsid w:val="263C26F8"/>
    <w:rsid w:val="26440BD6"/>
    <w:rsid w:val="26480CF9"/>
    <w:rsid w:val="2659166B"/>
    <w:rsid w:val="265C136B"/>
    <w:rsid w:val="266C4F99"/>
    <w:rsid w:val="26700368"/>
    <w:rsid w:val="26787711"/>
    <w:rsid w:val="267A0DBE"/>
    <w:rsid w:val="26827BE0"/>
    <w:rsid w:val="26A7064E"/>
    <w:rsid w:val="26BE18DB"/>
    <w:rsid w:val="26C35C6A"/>
    <w:rsid w:val="26CC0A86"/>
    <w:rsid w:val="26CD435D"/>
    <w:rsid w:val="26F06219"/>
    <w:rsid w:val="270D6B81"/>
    <w:rsid w:val="270D7617"/>
    <w:rsid w:val="272675F2"/>
    <w:rsid w:val="272C15B3"/>
    <w:rsid w:val="272F0FDB"/>
    <w:rsid w:val="27366A75"/>
    <w:rsid w:val="27381821"/>
    <w:rsid w:val="273F2352"/>
    <w:rsid w:val="27492A04"/>
    <w:rsid w:val="27520FD2"/>
    <w:rsid w:val="27554704"/>
    <w:rsid w:val="27613881"/>
    <w:rsid w:val="276170AA"/>
    <w:rsid w:val="27796B10"/>
    <w:rsid w:val="277F7B98"/>
    <w:rsid w:val="27887B45"/>
    <w:rsid w:val="278F7D2F"/>
    <w:rsid w:val="27974D82"/>
    <w:rsid w:val="27984E67"/>
    <w:rsid w:val="27B5CC54"/>
    <w:rsid w:val="27B60AA2"/>
    <w:rsid w:val="27B809F9"/>
    <w:rsid w:val="27BD2C29"/>
    <w:rsid w:val="27DE76C5"/>
    <w:rsid w:val="28065E02"/>
    <w:rsid w:val="280A00B0"/>
    <w:rsid w:val="280F5D58"/>
    <w:rsid w:val="282242D0"/>
    <w:rsid w:val="2822718A"/>
    <w:rsid w:val="28284D5E"/>
    <w:rsid w:val="28437184"/>
    <w:rsid w:val="284703FA"/>
    <w:rsid w:val="28626F72"/>
    <w:rsid w:val="286541DD"/>
    <w:rsid w:val="287135A8"/>
    <w:rsid w:val="289266E8"/>
    <w:rsid w:val="28A911FA"/>
    <w:rsid w:val="28C40497"/>
    <w:rsid w:val="28CB1A37"/>
    <w:rsid w:val="28D0104C"/>
    <w:rsid w:val="28DB75DD"/>
    <w:rsid w:val="28E456D8"/>
    <w:rsid w:val="28E711EB"/>
    <w:rsid w:val="28FC416E"/>
    <w:rsid w:val="290F67DE"/>
    <w:rsid w:val="2915189E"/>
    <w:rsid w:val="291B7171"/>
    <w:rsid w:val="29226081"/>
    <w:rsid w:val="292B5FA7"/>
    <w:rsid w:val="292D1AC4"/>
    <w:rsid w:val="294245D6"/>
    <w:rsid w:val="29432BF3"/>
    <w:rsid w:val="29465913"/>
    <w:rsid w:val="294D6429"/>
    <w:rsid w:val="29631CCA"/>
    <w:rsid w:val="297742AA"/>
    <w:rsid w:val="298F267B"/>
    <w:rsid w:val="2993712A"/>
    <w:rsid w:val="299562AB"/>
    <w:rsid w:val="29EC02FF"/>
    <w:rsid w:val="29ED438B"/>
    <w:rsid w:val="29F63D4A"/>
    <w:rsid w:val="29F64A23"/>
    <w:rsid w:val="29F66AFE"/>
    <w:rsid w:val="2A03657E"/>
    <w:rsid w:val="2A154B20"/>
    <w:rsid w:val="2A1720B1"/>
    <w:rsid w:val="2A1B627E"/>
    <w:rsid w:val="2A216A77"/>
    <w:rsid w:val="2A287AC5"/>
    <w:rsid w:val="2A31662D"/>
    <w:rsid w:val="2A486170"/>
    <w:rsid w:val="2A734673"/>
    <w:rsid w:val="2A8D0B37"/>
    <w:rsid w:val="2A8E6DB0"/>
    <w:rsid w:val="2A9D74D8"/>
    <w:rsid w:val="2AAB09C5"/>
    <w:rsid w:val="2AB70A5B"/>
    <w:rsid w:val="2AC20859"/>
    <w:rsid w:val="2ACD2132"/>
    <w:rsid w:val="2ADA16D8"/>
    <w:rsid w:val="2AE070E6"/>
    <w:rsid w:val="2AEA23D1"/>
    <w:rsid w:val="2AFA7398"/>
    <w:rsid w:val="2B4F7603"/>
    <w:rsid w:val="2B594828"/>
    <w:rsid w:val="2B677D02"/>
    <w:rsid w:val="2B7A2E88"/>
    <w:rsid w:val="2B7B3787"/>
    <w:rsid w:val="2B8F40CA"/>
    <w:rsid w:val="2B9907D7"/>
    <w:rsid w:val="2B9A5075"/>
    <w:rsid w:val="2B9F6A31"/>
    <w:rsid w:val="2BBB4F20"/>
    <w:rsid w:val="2BCB3196"/>
    <w:rsid w:val="2BD54134"/>
    <w:rsid w:val="2BDD64A1"/>
    <w:rsid w:val="2BEE0F76"/>
    <w:rsid w:val="2BFC7EF3"/>
    <w:rsid w:val="2C0B2E34"/>
    <w:rsid w:val="2C0E0354"/>
    <w:rsid w:val="2C0E69F5"/>
    <w:rsid w:val="2C1D70D6"/>
    <w:rsid w:val="2C2111A5"/>
    <w:rsid w:val="2C241D07"/>
    <w:rsid w:val="2C443D77"/>
    <w:rsid w:val="2C7B5411"/>
    <w:rsid w:val="2C865188"/>
    <w:rsid w:val="2C8B33BF"/>
    <w:rsid w:val="2C9A3166"/>
    <w:rsid w:val="2CA82DCA"/>
    <w:rsid w:val="2CAF7783"/>
    <w:rsid w:val="2CC55009"/>
    <w:rsid w:val="2CCA6C88"/>
    <w:rsid w:val="2CE26C01"/>
    <w:rsid w:val="2D050685"/>
    <w:rsid w:val="2D0558FB"/>
    <w:rsid w:val="2D0B37D6"/>
    <w:rsid w:val="2D112DE5"/>
    <w:rsid w:val="2D1D42DA"/>
    <w:rsid w:val="2D1D5997"/>
    <w:rsid w:val="2D1F225C"/>
    <w:rsid w:val="2D24230D"/>
    <w:rsid w:val="2D2E126F"/>
    <w:rsid w:val="2D361862"/>
    <w:rsid w:val="2D416A9E"/>
    <w:rsid w:val="2D43192C"/>
    <w:rsid w:val="2D5657A2"/>
    <w:rsid w:val="2D5B7601"/>
    <w:rsid w:val="2D792F4E"/>
    <w:rsid w:val="2D7A5EA7"/>
    <w:rsid w:val="2D956B13"/>
    <w:rsid w:val="2D975B35"/>
    <w:rsid w:val="2DA30E00"/>
    <w:rsid w:val="2DD63697"/>
    <w:rsid w:val="2DF44AD9"/>
    <w:rsid w:val="2DFA7D54"/>
    <w:rsid w:val="2DFB01F4"/>
    <w:rsid w:val="2E075562"/>
    <w:rsid w:val="2E1C1715"/>
    <w:rsid w:val="2E2A2C45"/>
    <w:rsid w:val="2E2E1B84"/>
    <w:rsid w:val="2E3A08DD"/>
    <w:rsid w:val="2E591DEF"/>
    <w:rsid w:val="2E6539E2"/>
    <w:rsid w:val="2E6630B9"/>
    <w:rsid w:val="2E70453C"/>
    <w:rsid w:val="2E74584B"/>
    <w:rsid w:val="2E822D06"/>
    <w:rsid w:val="2EA06189"/>
    <w:rsid w:val="2EBF7356"/>
    <w:rsid w:val="2EC02AD1"/>
    <w:rsid w:val="2EE274F6"/>
    <w:rsid w:val="2EEC0C6F"/>
    <w:rsid w:val="2EF01289"/>
    <w:rsid w:val="2EF140AE"/>
    <w:rsid w:val="2EF421DC"/>
    <w:rsid w:val="2F0239D8"/>
    <w:rsid w:val="2F090BA3"/>
    <w:rsid w:val="2F0D5811"/>
    <w:rsid w:val="2F15570A"/>
    <w:rsid w:val="2F4F4F6B"/>
    <w:rsid w:val="2F507BEB"/>
    <w:rsid w:val="2F77394A"/>
    <w:rsid w:val="2F7A36AC"/>
    <w:rsid w:val="2F87117E"/>
    <w:rsid w:val="2F8A2035"/>
    <w:rsid w:val="2F911746"/>
    <w:rsid w:val="2F9E029D"/>
    <w:rsid w:val="2FB47407"/>
    <w:rsid w:val="2FB63603"/>
    <w:rsid w:val="2FBD3853"/>
    <w:rsid w:val="2FCF047B"/>
    <w:rsid w:val="2FF24E8E"/>
    <w:rsid w:val="2FFE58D9"/>
    <w:rsid w:val="3045264D"/>
    <w:rsid w:val="30486BE1"/>
    <w:rsid w:val="304939F6"/>
    <w:rsid w:val="304B615F"/>
    <w:rsid w:val="304F51F9"/>
    <w:rsid w:val="30565B36"/>
    <w:rsid w:val="30597F7B"/>
    <w:rsid w:val="305B7116"/>
    <w:rsid w:val="30756E90"/>
    <w:rsid w:val="308242F4"/>
    <w:rsid w:val="308D45B8"/>
    <w:rsid w:val="309109EB"/>
    <w:rsid w:val="30A42DCC"/>
    <w:rsid w:val="30A7177B"/>
    <w:rsid w:val="30AA3711"/>
    <w:rsid w:val="30B361CB"/>
    <w:rsid w:val="30CC0089"/>
    <w:rsid w:val="30D12C54"/>
    <w:rsid w:val="30F67D50"/>
    <w:rsid w:val="30FE78A1"/>
    <w:rsid w:val="3107260D"/>
    <w:rsid w:val="313979C6"/>
    <w:rsid w:val="313F48FA"/>
    <w:rsid w:val="31520178"/>
    <w:rsid w:val="3156324A"/>
    <w:rsid w:val="31860E00"/>
    <w:rsid w:val="31911F2C"/>
    <w:rsid w:val="31A52067"/>
    <w:rsid w:val="31A671C7"/>
    <w:rsid w:val="31A76E96"/>
    <w:rsid w:val="31B1006E"/>
    <w:rsid w:val="31D2196B"/>
    <w:rsid w:val="31E72DC6"/>
    <w:rsid w:val="31F24531"/>
    <w:rsid w:val="31F6655B"/>
    <w:rsid w:val="321B77EF"/>
    <w:rsid w:val="321F2B21"/>
    <w:rsid w:val="321F641E"/>
    <w:rsid w:val="3224267D"/>
    <w:rsid w:val="322E23B6"/>
    <w:rsid w:val="32475FB9"/>
    <w:rsid w:val="32504D8E"/>
    <w:rsid w:val="32560514"/>
    <w:rsid w:val="32714079"/>
    <w:rsid w:val="3277087F"/>
    <w:rsid w:val="327F151D"/>
    <w:rsid w:val="32961856"/>
    <w:rsid w:val="32975C0E"/>
    <w:rsid w:val="32AD1353"/>
    <w:rsid w:val="32C24F51"/>
    <w:rsid w:val="32CF56CE"/>
    <w:rsid w:val="32E11B10"/>
    <w:rsid w:val="32E50DDE"/>
    <w:rsid w:val="32E75A2A"/>
    <w:rsid w:val="32E821E3"/>
    <w:rsid w:val="32EB746E"/>
    <w:rsid w:val="32ED106A"/>
    <w:rsid w:val="33445458"/>
    <w:rsid w:val="334B0CE2"/>
    <w:rsid w:val="334F173A"/>
    <w:rsid w:val="3351471B"/>
    <w:rsid w:val="3351787F"/>
    <w:rsid w:val="336B36EF"/>
    <w:rsid w:val="33704B70"/>
    <w:rsid w:val="3370570B"/>
    <w:rsid w:val="33746807"/>
    <w:rsid w:val="337607D0"/>
    <w:rsid w:val="337B122F"/>
    <w:rsid w:val="337C43C0"/>
    <w:rsid w:val="33953214"/>
    <w:rsid w:val="339F2811"/>
    <w:rsid w:val="339F445D"/>
    <w:rsid w:val="33A72B7D"/>
    <w:rsid w:val="33D859DA"/>
    <w:rsid w:val="33E323D5"/>
    <w:rsid w:val="33FA1F13"/>
    <w:rsid w:val="33FC0384"/>
    <w:rsid w:val="33FF59D9"/>
    <w:rsid w:val="34032812"/>
    <w:rsid w:val="3407510A"/>
    <w:rsid w:val="3429470C"/>
    <w:rsid w:val="342A6983"/>
    <w:rsid w:val="342B7109"/>
    <w:rsid w:val="342C14BA"/>
    <w:rsid w:val="343A1448"/>
    <w:rsid w:val="34636B55"/>
    <w:rsid w:val="34744C18"/>
    <w:rsid w:val="34785A3E"/>
    <w:rsid w:val="347C30B0"/>
    <w:rsid w:val="348C1E7F"/>
    <w:rsid w:val="34B07A09"/>
    <w:rsid w:val="34D06EB7"/>
    <w:rsid w:val="34D4021A"/>
    <w:rsid w:val="34E03FA1"/>
    <w:rsid w:val="34E20B1B"/>
    <w:rsid w:val="34E342D0"/>
    <w:rsid w:val="34EC55FB"/>
    <w:rsid w:val="34F00B13"/>
    <w:rsid w:val="351262F8"/>
    <w:rsid w:val="351309F0"/>
    <w:rsid w:val="351E3DCC"/>
    <w:rsid w:val="352445ED"/>
    <w:rsid w:val="35255381"/>
    <w:rsid w:val="352928DE"/>
    <w:rsid w:val="352A0D33"/>
    <w:rsid w:val="35436239"/>
    <w:rsid w:val="35480708"/>
    <w:rsid w:val="35534E51"/>
    <w:rsid w:val="356258B9"/>
    <w:rsid w:val="357E480B"/>
    <w:rsid w:val="358771E6"/>
    <w:rsid w:val="358B057C"/>
    <w:rsid w:val="35980E44"/>
    <w:rsid w:val="35A64CC0"/>
    <w:rsid w:val="35B21CC8"/>
    <w:rsid w:val="35BA1CB0"/>
    <w:rsid w:val="35BD2C80"/>
    <w:rsid w:val="35DB6B87"/>
    <w:rsid w:val="35E80594"/>
    <w:rsid w:val="36080400"/>
    <w:rsid w:val="36121F46"/>
    <w:rsid w:val="36155967"/>
    <w:rsid w:val="36374740"/>
    <w:rsid w:val="36470974"/>
    <w:rsid w:val="36555638"/>
    <w:rsid w:val="36683797"/>
    <w:rsid w:val="366A7756"/>
    <w:rsid w:val="367B3ECB"/>
    <w:rsid w:val="36882661"/>
    <w:rsid w:val="369008CE"/>
    <w:rsid w:val="3694567D"/>
    <w:rsid w:val="36AC6FBD"/>
    <w:rsid w:val="36BE3AAA"/>
    <w:rsid w:val="36C529B1"/>
    <w:rsid w:val="36C96F80"/>
    <w:rsid w:val="36EE4FBC"/>
    <w:rsid w:val="36F86A50"/>
    <w:rsid w:val="3701450B"/>
    <w:rsid w:val="37025FC6"/>
    <w:rsid w:val="37043D80"/>
    <w:rsid w:val="37095778"/>
    <w:rsid w:val="37112D3A"/>
    <w:rsid w:val="3712228F"/>
    <w:rsid w:val="37154E48"/>
    <w:rsid w:val="372F0041"/>
    <w:rsid w:val="37316559"/>
    <w:rsid w:val="374021CD"/>
    <w:rsid w:val="37437BE7"/>
    <w:rsid w:val="374559CE"/>
    <w:rsid w:val="374F5729"/>
    <w:rsid w:val="37594485"/>
    <w:rsid w:val="376246B6"/>
    <w:rsid w:val="376F7817"/>
    <w:rsid w:val="37766D53"/>
    <w:rsid w:val="377F5741"/>
    <w:rsid w:val="378D3015"/>
    <w:rsid w:val="37902452"/>
    <w:rsid w:val="37A05CFE"/>
    <w:rsid w:val="37B828F2"/>
    <w:rsid w:val="37B9467B"/>
    <w:rsid w:val="37C41B62"/>
    <w:rsid w:val="37C42D84"/>
    <w:rsid w:val="37CF1E8B"/>
    <w:rsid w:val="37D00EEF"/>
    <w:rsid w:val="38185D9D"/>
    <w:rsid w:val="381F3989"/>
    <w:rsid w:val="38215A67"/>
    <w:rsid w:val="38307FBD"/>
    <w:rsid w:val="3833596B"/>
    <w:rsid w:val="38447228"/>
    <w:rsid w:val="38475859"/>
    <w:rsid w:val="386B418E"/>
    <w:rsid w:val="387731F9"/>
    <w:rsid w:val="389571F6"/>
    <w:rsid w:val="38983CE5"/>
    <w:rsid w:val="389A13AE"/>
    <w:rsid w:val="38A327C2"/>
    <w:rsid w:val="38A755AB"/>
    <w:rsid w:val="38AC3410"/>
    <w:rsid w:val="38C04399"/>
    <w:rsid w:val="38C5537B"/>
    <w:rsid w:val="38DE61E4"/>
    <w:rsid w:val="38E22997"/>
    <w:rsid w:val="38EA2F85"/>
    <w:rsid w:val="38F26318"/>
    <w:rsid w:val="38F72B3F"/>
    <w:rsid w:val="38FA1FAA"/>
    <w:rsid w:val="390F4299"/>
    <w:rsid w:val="39244012"/>
    <w:rsid w:val="393761E8"/>
    <w:rsid w:val="394E3843"/>
    <w:rsid w:val="394E51BE"/>
    <w:rsid w:val="39533B75"/>
    <w:rsid w:val="39572201"/>
    <w:rsid w:val="395A7636"/>
    <w:rsid w:val="39622C45"/>
    <w:rsid w:val="39657E99"/>
    <w:rsid w:val="3969669D"/>
    <w:rsid w:val="39731A25"/>
    <w:rsid w:val="397B52BF"/>
    <w:rsid w:val="3991716F"/>
    <w:rsid w:val="399A7102"/>
    <w:rsid w:val="399C649D"/>
    <w:rsid w:val="39A62944"/>
    <w:rsid w:val="39B2329E"/>
    <w:rsid w:val="39B93A85"/>
    <w:rsid w:val="39C4006C"/>
    <w:rsid w:val="39C647FB"/>
    <w:rsid w:val="39CE1616"/>
    <w:rsid w:val="39F67C73"/>
    <w:rsid w:val="3A0C3305"/>
    <w:rsid w:val="3A107971"/>
    <w:rsid w:val="3A203158"/>
    <w:rsid w:val="3A266FD4"/>
    <w:rsid w:val="3A2C2BC2"/>
    <w:rsid w:val="3A4A716A"/>
    <w:rsid w:val="3A545337"/>
    <w:rsid w:val="3A703D84"/>
    <w:rsid w:val="3A894E18"/>
    <w:rsid w:val="3A9A49F4"/>
    <w:rsid w:val="3AC071FA"/>
    <w:rsid w:val="3AE20C79"/>
    <w:rsid w:val="3AFB7B46"/>
    <w:rsid w:val="3B0A3852"/>
    <w:rsid w:val="3B13631C"/>
    <w:rsid w:val="3B1E6E14"/>
    <w:rsid w:val="3B1F616C"/>
    <w:rsid w:val="3B2D0991"/>
    <w:rsid w:val="3B426AA8"/>
    <w:rsid w:val="3B6779F4"/>
    <w:rsid w:val="3B694997"/>
    <w:rsid w:val="3B741D13"/>
    <w:rsid w:val="3B8113B9"/>
    <w:rsid w:val="3B8A55C0"/>
    <w:rsid w:val="3B8C1FBE"/>
    <w:rsid w:val="3BA53379"/>
    <w:rsid w:val="3BA969C0"/>
    <w:rsid w:val="3BB904D6"/>
    <w:rsid w:val="3BD25421"/>
    <w:rsid w:val="3BD35A58"/>
    <w:rsid w:val="3BEA6B09"/>
    <w:rsid w:val="3BF4741D"/>
    <w:rsid w:val="3C016584"/>
    <w:rsid w:val="3C1617FE"/>
    <w:rsid w:val="3C1B75E0"/>
    <w:rsid w:val="3C2E2894"/>
    <w:rsid w:val="3C321AB4"/>
    <w:rsid w:val="3C3359C4"/>
    <w:rsid w:val="3C4054EC"/>
    <w:rsid w:val="3C6D138A"/>
    <w:rsid w:val="3C7C0799"/>
    <w:rsid w:val="3C99515B"/>
    <w:rsid w:val="3C9B20D7"/>
    <w:rsid w:val="3C9D631A"/>
    <w:rsid w:val="3C9E7340"/>
    <w:rsid w:val="3CB05391"/>
    <w:rsid w:val="3CB366A5"/>
    <w:rsid w:val="3CBE2938"/>
    <w:rsid w:val="3CC21C43"/>
    <w:rsid w:val="3CE43ACB"/>
    <w:rsid w:val="3CE852ED"/>
    <w:rsid w:val="3CFD036E"/>
    <w:rsid w:val="3D063E11"/>
    <w:rsid w:val="3D2234D0"/>
    <w:rsid w:val="3D250218"/>
    <w:rsid w:val="3D3C49FB"/>
    <w:rsid w:val="3D5307CA"/>
    <w:rsid w:val="3D571E7C"/>
    <w:rsid w:val="3D7765CB"/>
    <w:rsid w:val="3D8D57CE"/>
    <w:rsid w:val="3D91751F"/>
    <w:rsid w:val="3D942040"/>
    <w:rsid w:val="3DB1368C"/>
    <w:rsid w:val="3DB97102"/>
    <w:rsid w:val="3DBC20B2"/>
    <w:rsid w:val="3DBC30E1"/>
    <w:rsid w:val="3DC1111A"/>
    <w:rsid w:val="3DC96FAC"/>
    <w:rsid w:val="3DE42C67"/>
    <w:rsid w:val="3DE77F82"/>
    <w:rsid w:val="3DEB4DDB"/>
    <w:rsid w:val="3DFA4B37"/>
    <w:rsid w:val="3E08267F"/>
    <w:rsid w:val="3E145922"/>
    <w:rsid w:val="3E255CFE"/>
    <w:rsid w:val="3E5854D9"/>
    <w:rsid w:val="3E5A6CF3"/>
    <w:rsid w:val="3E6E6CCF"/>
    <w:rsid w:val="3E7F6E5E"/>
    <w:rsid w:val="3E8175F4"/>
    <w:rsid w:val="3E957B54"/>
    <w:rsid w:val="3EB52133"/>
    <w:rsid w:val="3EB71874"/>
    <w:rsid w:val="3ECB4E3C"/>
    <w:rsid w:val="3ED44730"/>
    <w:rsid w:val="3EDF0A34"/>
    <w:rsid w:val="3EE473A5"/>
    <w:rsid w:val="3EFC671C"/>
    <w:rsid w:val="3EFF3FC7"/>
    <w:rsid w:val="3F083C6D"/>
    <w:rsid w:val="3F0E5124"/>
    <w:rsid w:val="3F13678E"/>
    <w:rsid w:val="3F1B28D8"/>
    <w:rsid w:val="3F2B19C7"/>
    <w:rsid w:val="3F2B4495"/>
    <w:rsid w:val="3F304B73"/>
    <w:rsid w:val="3F323F26"/>
    <w:rsid w:val="3F39323F"/>
    <w:rsid w:val="3F3A209C"/>
    <w:rsid w:val="3F3A75C3"/>
    <w:rsid w:val="3F462630"/>
    <w:rsid w:val="3F6A5F5A"/>
    <w:rsid w:val="3F7E6B84"/>
    <w:rsid w:val="3F8E021A"/>
    <w:rsid w:val="3F9661ED"/>
    <w:rsid w:val="3F9A6980"/>
    <w:rsid w:val="3FA35BB5"/>
    <w:rsid w:val="3FBF5D30"/>
    <w:rsid w:val="3FD345B8"/>
    <w:rsid w:val="3FD463E0"/>
    <w:rsid w:val="3FD465BB"/>
    <w:rsid w:val="3FD65D1F"/>
    <w:rsid w:val="3FDF0AA8"/>
    <w:rsid w:val="3FE740E9"/>
    <w:rsid w:val="3FEE538D"/>
    <w:rsid w:val="3FF316FF"/>
    <w:rsid w:val="3FF7E224"/>
    <w:rsid w:val="3FFB3BB3"/>
    <w:rsid w:val="3FFC3888"/>
    <w:rsid w:val="3FFD9BC7"/>
    <w:rsid w:val="401835DD"/>
    <w:rsid w:val="401D5C64"/>
    <w:rsid w:val="40243BE4"/>
    <w:rsid w:val="40270ABE"/>
    <w:rsid w:val="402B22CF"/>
    <w:rsid w:val="402D50C9"/>
    <w:rsid w:val="40403EBA"/>
    <w:rsid w:val="4057770E"/>
    <w:rsid w:val="405970E0"/>
    <w:rsid w:val="407E2224"/>
    <w:rsid w:val="4082003D"/>
    <w:rsid w:val="4084122A"/>
    <w:rsid w:val="409B713B"/>
    <w:rsid w:val="40A40417"/>
    <w:rsid w:val="40C64F32"/>
    <w:rsid w:val="40D100DC"/>
    <w:rsid w:val="40D4508A"/>
    <w:rsid w:val="40FB139B"/>
    <w:rsid w:val="41002E9E"/>
    <w:rsid w:val="41106AB0"/>
    <w:rsid w:val="411C5667"/>
    <w:rsid w:val="413A19AC"/>
    <w:rsid w:val="41672872"/>
    <w:rsid w:val="416771D5"/>
    <w:rsid w:val="416A79C4"/>
    <w:rsid w:val="41753DC2"/>
    <w:rsid w:val="417E4164"/>
    <w:rsid w:val="41A27091"/>
    <w:rsid w:val="41B12BB5"/>
    <w:rsid w:val="41B57FC9"/>
    <w:rsid w:val="41C51FFC"/>
    <w:rsid w:val="41C775BC"/>
    <w:rsid w:val="42075333"/>
    <w:rsid w:val="421933DF"/>
    <w:rsid w:val="422409DD"/>
    <w:rsid w:val="422D3952"/>
    <w:rsid w:val="42322212"/>
    <w:rsid w:val="42494354"/>
    <w:rsid w:val="42527AF6"/>
    <w:rsid w:val="4256589D"/>
    <w:rsid w:val="4261567F"/>
    <w:rsid w:val="426D6055"/>
    <w:rsid w:val="4272389B"/>
    <w:rsid w:val="42784974"/>
    <w:rsid w:val="428A3092"/>
    <w:rsid w:val="42A34EEE"/>
    <w:rsid w:val="42BB2A31"/>
    <w:rsid w:val="42C7272E"/>
    <w:rsid w:val="42CC3734"/>
    <w:rsid w:val="42D12298"/>
    <w:rsid w:val="42DA2110"/>
    <w:rsid w:val="42E126A1"/>
    <w:rsid w:val="42EC2DDD"/>
    <w:rsid w:val="42FA55AE"/>
    <w:rsid w:val="430006B2"/>
    <w:rsid w:val="430301DD"/>
    <w:rsid w:val="430D7DCD"/>
    <w:rsid w:val="43215F8F"/>
    <w:rsid w:val="4324512D"/>
    <w:rsid w:val="432A45D2"/>
    <w:rsid w:val="43313D66"/>
    <w:rsid w:val="43452008"/>
    <w:rsid w:val="4355303C"/>
    <w:rsid w:val="43573267"/>
    <w:rsid w:val="43821FA6"/>
    <w:rsid w:val="439C44A8"/>
    <w:rsid w:val="43BC674C"/>
    <w:rsid w:val="43D718F5"/>
    <w:rsid w:val="43D71B59"/>
    <w:rsid w:val="43DC6F1B"/>
    <w:rsid w:val="43EE19E3"/>
    <w:rsid w:val="43F54B40"/>
    <w:rsid w:val="44022633"/>
    <w:rsid w:val="44091768"/>
    <w:rsid w:val="441710A2"/>
    <w:rsid w:val="441D420D"/>
    <w:rsid w:val="44201CF5"/>
    <w:rsid w:val="44302E01"/>
    <w:rsid w:val="444133C7"/>
    <w:rsid w:val="4441675E"/>
    <w:rsid w:val="44420D64"/>
    <w:rsid w:val="446109FB"/>
    <w:rsid w:val="449546B8"/>
    <w:rsid w:val="449E0597"/>
    <w:rsid w:val="44B62796"/>
    <w:rsid w:val="44B76274"/>
    <w:rsid w:val="44BA514C"/>
    <w:rsid w:val="44CB517A"/>
    <w:rsid w:val="44D55BA0"/>
    <w:rsid w:val="44DB2AF2"/>
    <w:rsid w:val="44EA387D"/>
    <w:rsid w:val="44F5407C"/>
    <w:rsid w:val="44F55B37"/>
    <w:rsid w:val="44F84900"/>
    <w:rsid w:val="45216B98"/>
    <w:rsid w:val="45353118"/>
    <w:rsid w:val="453A4163"/>
    <w:rsid w:val="453B1BE3"/>
    <w:rsid w:val="454C1970"/>
    <w:rsid w:val="455901F2"/>
    <w:rsid w:val="455C4EC1"/>
    <w:rsid w:val="456C02C3"/>
    <w:rsid w:val="458058FC"/>
    <w:rsid w:val="45953695"/>
    <w:rsid w:val="45A57CBB"/>
    <w:rsid w:val="45C5701E"/>
    <w:rsid w:val="45D2106D"/>
    <w:rsid w:val="45D65D18"/>
    <w:rsid w:val="45DB2D9D"/>
    <w:rsid w:val="4617733E"/>
    <w:rsid w:val="46193481"/>
    <w:rsid w:val="46334CA2"/>
    <w:rsid w:val="46353B5F"/>
    <w:rsid w:val="4644297F"/>
    <w:rsid w:val="464B0CE6"/>
    <w:rsid w:val="46513BE2"/>
    <w:rsid w:val="468A2C23"/>
    <w:rsid w:val="468D5693"/>
    <w:rsid w:val="46A5231B"/>
    <w:rsid w:val="46B20CC7"/>
    <w:rsid w:val="46B842B2"/>
    <w:rsid w:val="46C044DC"/>
    <w:rsid w:val="46C22620"/>
    <w:rsid w:val="46D13FE3"/>
    <w:rsid w:val="46DE44CE"/>
    <w:rsid w:val="471B525C"/>
    <w:rsid w:val="474775B4"/>
    <w:rsid w:val="4755140F"/>
    <w:rsid w:val="476D2100"/>
    <w:rsid w:val="477012B0"/>
    <w:rsid w:val="47751AD6"/>
    <w:rsid w:val="47C023F3"/>
    <w:rsid w:val="47D81F98"/>
    <w:rsid w:val="47DB37CB"/>
    <w:rsid w:val="47DD5031"/>
    <w:rsid w:val="47E1556D"/>
    <w:rsid w:val="47E71CF9"/>
    <w:rsid w:val="480459F4"/>
    <w:rsid w:val="48091DE2"/>
    <w:rsid w:val="480A1218"/>
    <w:rsid w:val="480B128F"/>
    <w:rsid w:val="48101F6F"/>
    <w:rsid w:val="483C2101"/>
    <w:rsid w:val="483F1CAC"/>
    <w:rsid w:val="485C2E6E"/>
    <w:rsid w:val="48637C49"/>
    <w:rsid w:val="4866016B"/>
    <w:rsid w:val="48684580"/>
    <w:rsid w:val="48822BC0"/>
    <w:rsid w:val="48A2191D"/>
    <w:rsid w:val="48A562EC"/>
    <w:rsid w:val="48A832F6"/>
    <w:rsid w:val="48B44B25"/>
    <w:rsid w:val="48B4646B"/>
    <w:rsid w:val="48E204FD"/>
    <w:rsid w:val="48F42F7D"/>
    <w:rsid w:val="49111065"/>
    <w:rsid w:val="4916203B"/>
    <w:rsid w:val="492E3D7C"/>
    <w:rsid w:val="493817FB"/>
    <w:rsid w:val="49506BD6"/>
    <w:rsid w:val="49584DA0"/>
    <w:rsid w:val="49586463"/>
    <w:rsid w:val="495C1FB2"/>
    <w:rsid w:val="496B446C"/>
    <w:rsid w:val="497B5F57"/>
    <w:rsid w:val="497C127F"/>
    <w:rsid w:val="498A7E06"/>
    <w:rsid w:val="498F53C8"/>
    <w:rsid w:val="4990084B"/>
    <w:rsid w:val="499310E4"/>
    <w:rsid w:val="499D2DC8"/>
    <w:rsid w:val="499F471D"/>
    <w:rsid w:val="49A23FA5"/>
    <w:rsid w:val="49B319DF"/>
    <w:rsid w:val="49C91EB5"/>
    <w:rsid w:val="49C938E9"/>
    <w:rsid w:val="49E21C11"/>
    <w:rsid w:val="4A046350"/>
    <w:rsid w:val="4A0F0E22"/>
    <w:rsid w:val="4A0F6B26"/>
    <w:rsid w:val="4A14569B"/>
    <w:rsid w:val="4A33371F"/>
    <w:rsid w:val="4A412412"/>
    <w:rsid w:val="4A46795A"/>
    <w:rsid w:val="4A4922D6"/>
    <w:rsid w:val="4A507265"/>
    <w:rsid w:val="4A56045A"/>
    <w:rsid w:val="4A671CC0"/>
    <w:rsid w:val="4A740D46"/>
    <w:rsid w:val="4A804424"/>
    <w:rsid w:val="4A813EA4"/>
    <w:rsid w:val="4A884A36"/>
    <w:rsid w:val="4A8B76C2"/>
    <w:rsid w:val="4A8D5AA3"/>
    <w:rsid w:val="4A9E4C7B"/>
    <w:rsid w:val="4ABC3EE6"/>
    <w:rsid w:val="4AD01426"/>
    <w:rsid w:val="4AD5032A"/>
    <w:rsid w:val="4AEB3BA1"/>
    <w:rsid w:val="4AEC6710"/>
    <w:rsid w:val="4B082190"/>
    <w:rsid w:val="4B113B89"/>
    <w:rsid w:val="4B1A0E91"/>
    <w:rsid w:val="4B1D43E0"/>
    <w:rsid w:val="4B5F15C2"/>
    <w:rsid w:val="4B625472"/>
    <w:rsid w:val="4B7E2532"/>
    <w:rsid w:val="4B884A70"/>
    <w:rsid w:val="4B9D13DC"/>
    <w:rsid w:val="4BA3009E"/>
    <w:rsid w:val="4BC16E92"/>
    <w:rsid w:val="4BD416C3"/>
    <w:rsid w:val="4BDC4D19"/>
    <w:rsid w:val="4BE44B6D"/>
    <w:rsid w:val="4C056048"/>
    <w:rsid w:val="4C5019B0"/>
    <w:rsid w:val="4C6C0BC0"/>
    <w:rsid w:val="4C6F7CFF"/>
    <w:rsid w:val="4C954C5D"/>
    <w:rsid w:val="4CA45618"/>
    <w:rsid w:val="4CBF2CC7"/>
    <w:rsid w:val="4CD50F07"/>
    <w:rsid w:val="4CD515BA"/>
    <w:rsid w:val="4CDA2D9D"/>
    <w:rsid w:val="4CE03143"/>
    <w:rsid w:val="4CE334C0"/>
    <w:rsid w:val="4D084D29"/>
    <w:rsid w:val="4D092702"/>
    <w:rsid w:val="4D0B094A"/>
    <w:rsid w:val="4D123DC2"/>
    <w:rsid w:val="4D1956B7"/>
    <w:rsid w:val="4D1D563D"/>
    <w:rsid w:val="4D1D7CDC"/>
    <w:rsid w:val="4D222405"/>
    <w:rsid w:val="4D232972"/>
    <w:rsid w:val="4D3529C5"/>
    <w:rsid w:val="4D3973E4"/>
    <w:rsid w:val="4D5051CD"/>
    <w:rsid w:val="4D68519A"/>
    <w:rsid w:val="4D6A49AB"/>
    <w:rsid w:val="4D8F4DA0"/>
    <w:rsid w:val="4D922A02"/>
    <w:rsid w:val="4D9C14F9"/>
    <w:rsid w:val="4D9C57B8"/>
    <w:rsid w:val="4DA72041"/>
    <w:rsid w:val="4DAC6B40"/>
    <w:rsid w:val="4DC253D2"/>
    <w:rsid w:val="4DC2741E"/>
    <w:rsid w:val="4DF55FC5"/>
    <w:rsid w:val="4E075B38"/>
    <w:rsid w:val="4E192332"/>
    <w:rsid w:val="4E226B10"/>
    <w:rsid w:val="4E2436A4"/>
    <w:rsid w:val="4E2C7AB2"/>
    <w:rsid w:val="4E467AD1"/>
    <w:rsid w:val="4E6A2406"/>
    <w:rsid w:val="4E836C04"/>
    <w:rsid w:val="4E8E0171"/>
    <w:rsid w:val="4E956CE4"/>
    <w:rsid w:val="4E9A7C88"/>
    <w:rsid w:val="4E9C46CB"/>
    <w:rsid w:val="4EA31FBC"/>
    <w:rsid w:val="4EB737C5"/>
    <w:rsid w:val="4EC15A6F"/>
    <w:rsid w:val="4EC66A68"/>
    <w:rsid w:val="4EC96D08"/>
    <w:rsid w:val="4ECF22E8"/>
    <w:rsid w:val="4EED0DC3"/>
    <w:rsid w:val="4EF561C2"/>
    <w:rsid w:val="4EFD7FDC"/>
    <w:rsid w:val="4F120011"/>
    <w:rsid w:val="4F37419C"/>
    <w:rsid w:val="4F397D60"/>
    <w:rsid w:val="4F5677F4"/>
    <w:rsid w:val="4F781D5E"/>
    <w:rsid w:val="4F79A379"/>
    <w:rsid w:val="4F821383"/>
    <w:rsid w:val="4FA57F27"/>
    <w:rsid w:val="4FAA798E"/>
    <w:rsid w:val="4FBFB70A"/>
    <w:rsid w:val="4FC031C5"/>
    <w:rsid w:val="4FC304D5"/>
    <w:rsid w:val="4FCC1D1C"/>
    <w:rsid w:val="4FD8433F"/>
    <w:rsid w:val="4FE0736F"/>
    <w:rsid w:val="4FEB43DD"/>
    <w:rsid w:val="4FF26EDC"/>
    <w:rsid w:val="4FF9765F"/>
    <w:rsid w:val="5002219A"/>
    <w:rsid w:val="5009393D"/>
    <w:rsid w:val="501F6076"/>
    <w:rsid w:val="502710BC"/>
    <w:rsid w:val="502A2E00"/>
    <w:rsid w:val="5040534E"/>
    <w:rsid w:val="504129E4"/>
    <w:rsid w:val="504E60DA"/>
    <w:rsid w:val="507D1ED6"/>
    <w:rsid w:val="507F4322"/>
    <w:rsid w:val="5082290B"/>
    <w:rsid w:val="508569B5"/>
    <w:rsid w:val="508A4323"/>
    <w:rsid w:val="50983FB3"/>
    <w:rsid w:val="509E2765"/>
    <w:rsid w:val="50AF7D2A"/>
    <w:rsid w:val="50C6134D"/>
    <w:rsid w:val="50DA2FD4"/>
    <w:rsid w:val="50F5514F"/>
    <w:rsid w:val="50F628DB"/>
    <w:rsid w:val="50F66833"/>
    <w:rsid w:val="510D45DB"/>
    <w:rsid w:val="5116028B"/>
    <w:rsid w:val="51275ECD"/>
    <w:rsid w:val="513674EB"/>
    <w:rsid w:val="513812D2"/>
    <w:rsid w:val="51530E25"/>
    <w:rsid w:val="517114D9"/>
    <w:rsid w:val="51755741"/>
    <w:rsid w:val="5184575F"/>
    <w:rsid w:val="51861DC9"/>
    <w:rsid w:val="51894810"/>
    <w:rsid w:val="519975A8"/>
    <w:rsid w:val="51A56F83"/>
    <w:rsid w:val="51B17158"/>
    <w:rsid w:val="51B704C2"/>
    <w:rsid w:val="51C05353"/>
    <w:rsid w:val="51C460D4"/>
    <w:rsid w:val="51D2186A"/>
    <w:rsid w:val="51E02126"/>
    <w:rsid w:val="520A2170"/>
    <w:rsid w:val="521270B1"/>
    <w:rsid w:val="52165EDE"/>
    <w:rsid w:val="525258AC"/>
    <w:rsid w:val="525E5DAE"/>
    <w:rsid w:val="52703098"/>
    <w:rsid w:val="527B576C"/>
    <w:rsid w:val="528F3B11"/>
    <w:rsid w:val="52A70806"/>
    <w:rsid w:val="52B92ADE"/>
    <w:rsid w:val="52C82C9D"/>
    <w:rsid w:val="52C973D6"/>
    <w:rsid w:val="52CF0FED"/>
    <w:rsid w:val="52DD61AA"/>
    <w:rsid w:val="52EA7F23"/>
    <w:rsid w:val="52F46298"/>
    <w:rsid w:val="53071687"/>
    <w:rsid w:val="53327396"/>
    <w:rsid w:val="53387F3F"/>
    <w:rsid w:val="534A722D"/>
    <w:rsid w:val="536B0419"/>
    <w:rsid w:val="536C11DE"/>
    <w:rsid w:val="536D2585"/>
    <w:rsid w:val="536F33D0"/>
    <w:rsid w:val="537A15E7"/>
    <w:rsid w:val="537E5397"/>
    <w:rsid w:val="53827C90"/>
    <w:rsid w:val="53855FD1"/>
    <w:rsid w:val="53867472"/>
    <w:rsid w:val="53901716"/>
    <w:rsid w:val="53913532"/>
    <w:rsid w:val="53BB323E"/>
    <w:rsid w:val="53C673AF"/>
    <w:rsid w:val="53F00AAC"/>
    <w:rsid w:val="540356A3"/>
    <w:rsid w:val="541A27AC"/>
    <w:rsid w:val="542C1872"/>
    <w:rsid w:val="54515B01"/>
    <w:rsid w:val="545D1677"/>
    <w:rsid w:val="545E2F5F"/>
    <w:rsid w:val="54865203"/>
    <w:rsid w:val="54963DAD"/>
    <w:rsid w:val="54A325D6"/>
    <w:rsid w:val="54A41C43"/>
    <w:rsid w:val="54AD284B"/>
    <w:rsid w:val="54B35091"/>
    <w:rsid w:val="54C018F1"/>
    <w:rsid w:val="54C01FE9"/>
    <w:rsid w:val="54D36BEB"/>
    <w:rsid w:val="54DA3093"/>
    <w:rsid w:val="54E74425"/>
    <w:rsid w:val="54F46A06"/>
    <w:rsid w:val="55104CA3"/>
    <w:rsid w:val="55171A62"/>
    <w:rsid w:val="553118BE"/>
    <w:rsid w:val="5563028C"/>
    <w:rsid w:val="5570517C"/>
    <w:rsid w:val="557B04F7"/>
    <w:rsid w:val="558F59C6"/>
    <w:rsid w:val="55935179"/>
    <w:rsid w:val="559B057C"/>
    <w:rsid w:val="55A131E3"/>
    <w:rsid w:val="55A20AE0"/>
    <w:rsid w:val="55BB4140"/>
    <w:rsid w:val="55BD61B0"/>
    <w:rsid w:val="55ED0A5D"/>
    <w:rsid w:val="55ED25D5"/>
    <w:rsid w:val="55FD4C28"/>
    <w:rsid w:val="56046436"/>
    <w:rsid w:val="56200672"/>
    <w:rsid w:val="562F6EFF"/>
    <w:rsid w:val="56476886"/>
    <w:rsid w:val="566B7388"/>
    <w:rsid w:val="56721A04"/>
    <w:rsid w:val="56934E4F"/>
    <w:rsid w:val="56A05313"/>
    <w:rsid w:val="56B12D81"/>
    <w:rsid w:val="56C9433A"/>
    <w:rsid w:val="56CB7231"/>
    <w:rsid w:val="56DB4839"/>
    <w:rsid w:val="56DF3DC6"/>
    <w:rsid w:val="56F54DA6"/>
    <w:rsid w:val="56FA7B81"/>
    <w:rsid w:val="57003684"/>
    <w:rsid w:val="57167660"/>
    <w:rsid w:val="572F1284"/>
    <w:rsid w:val="57353B41"/>
    <w:rsid w:val="57564744"/>
    <w:rsid w:val="57631054"/>
    <w:rsid w:val="5769570D"/>
    <w:rsid w:val="576E16A2"/>
    <w:rsid w:val="57782CB9"/>
    <w:rsid w:val="577B4707"/>
    <w:rsid w:val="578C32B9"/>
    <w:rsid w:val="578E049A"/>
    <w:rsid w:val="57C93877"/>
    <w:rsid w:val="57E15E49"/>
    <w:rsid w:val="57EC182A"/>
    <w:rsid w:val="57F27F86"/>
    <w:rsid w:val="57F709D4"/>
    <w:rsid w:val="57F753AA"/>
    <w:rsid w:val="58111AD4"/>
    <w:rsid w:val="5817593D"/>
    <w:rsid w:val="582F2039"/>
    <w:rsid w:val="58472E54"/>
    <w:rsid w:val="58480FB2"/>
    <w:rsid w:val="58494BD8"/>
    <w:rsid w:val="58596936"/>
    <w:rsid w:val="587D28E1"/>
    <w:rsid w:val="589370EA"/>
    <w:rsid w:val="589C0FD5"/>
    <w:rsid w:val="58A22D84"/>
    <w:rsid w:val="58A5564A"/>
    <w:rsid w:val="58AE73B4"/>
    <w:rsid w:val="58C6681E"/>
    <w:rsid w:val="58D21D9D"/>
    <w:rsid w:val="58D651CC"/>
    <w:rsid w:val="58F036E3"/>
    <w:rsid w:val="58F41A32"/>
    <w:rsid w:val="58F825A9"/>
    <w:rsid w:val="59046212"/>
    <w:rsid w:val="591E3A4C"/>
    <w:rsid w:val="591FF47F"/>
    <w:rsid w:val="59246AF0"/>
    <w:rsid w:val="593C5587"/>
    <w:rsid w:val="596057CC"/>
    <w:rsid w:val="59623F7E"/>
    <w:rsid w:val="5964077B"/>
    <w:rsid w:val="596B4291"/>
    <w:rsid w:val="596C0517"/>
    <w:rsid w:val="596D4E14"/>
    <w:rsid w:val="59733044"/>
    <w:rsid w:val="598E4DBB"/>
    <w:rsid w:val="59AF2765"/>
    <w:rsid w:val="59C545B8"/>
    <w:rsid w:val="59C783B0"/>
    <w:rsid w:val="59D015D1"/>
    <w:rsid w:val="59EC2542"/>
    <w:rsid w:val="59ED1BB9"/>
    <w:rsid w:val="59ED3F86"/>
    <w:rsid w:val="59FC5603"/>
    <w:rsid w:val="5A046965"/>
    <w:rsid w:val="5A0C2735"/>
    <w:rsid w:val="5A131FA6"/>
    <w:rsid w:val="5A220EE0"/>
    <w:rsid w:val="5A3423E7"/>
    <w:rsid w:val="5A350336"/>
    <w:rsid w:val="5A5D4F2A"/>
    <w:rsid w:val="5A7445CA"/>
    <w:rsid w:val="5A8B7491"/>
    <w:rsid w:val="5A8E3FE7"/>
    <w:rsid w:val="5AAF5DB8"/>
    <w:rsid w:val="5ADE6BB1"/>
    <w:rsid w:val="5ADF73AD"/>
    <w:rsid w:val="5AF43DF5"/>
    <w:rsid w:val="5AF74439"/>
    <w:rsid w:val="5AFF3461"/>
    <w:rsid w:val="5B17159C"/>
    <w:rsid w:val="5B1839C5"/>
    <w:rsid w:val="5B2F43CC"/>
    <w:rsid w:val="5B3201E0"/>
    <w:rsid w:val="5B656DE4"/>
    <w:rsid w:val="5B6E47C6"/>
    <w:rsid w:val="5B737B29"/>
    <w:rsid w:val="5B763EB4"/>
    <w:rsid w:val="5B792358"/>
    <w:rsid w:val="5B911B65"/>
    <w:rsid w:val="5B957C1B"/>
    <w:rsid w:val="5BB10481"/>
    <w:rsid w:val="5BB266CF"/>
    <w:rsid w:val="5BB76A3B"/>
    <w:rsid w:val="5BB9478D"/>
    <w:rsid w:val="5BB94DB3"/>
    <w:rsid w:val="5BC44C7D"/>
    <w:rsid w:val="5BCA5269"/>
    <w:rsid w:val="5BCF7C3E"/>
    <w:rsid w:val="5BD7017A"/>
    <w:rsid w:val="5BF1329E"/>
    <w:rsid w:val="5BF33CB6"/>
    <w:rsid w:val="5BF90A3C"/>
    <w:rsid w:val="5BFA6B03"/>
    <w:rsid w:val="5BFF427A"/>
    <w:rsid w:val="5C244B24"/>
    <w:rsid w:val="5C301C2D"/>
    <w:rsid w:val="5C34422B"/>
    <w:rsid w:val="5C3B26CD"/>
    <w:rsid w:val="5C894646"/>
    <w:rsid w:val="5C8B1991"/>
    <w:rsid w:val="5C9569A3"/>
    <w:rsid w:val="5C9C1347"/>
    <w:rsid w:val="5CB360FD"/>
    <w:rsid w:val="5CC5047B"/>
    <w:rsid w:val="5CD5285A"/>
    <w:rsid w:val="5CE110F0"/>
    <w:rsid w:val="5CF974FA"/>
    <w:rsid w:val="5D000633"/>
    <w:rsid w:val="5D0965A8"/>
    <w:rsid w:val="5D0A4FAA"/>
    <w:rsid w:val="5D0C16D7"/>
    <w:rsid w:val="5D0E31EC"/>
    <w:rsid w:val="5D143498"/>
    <w:rsid w:val="5D15685E"/>
    <w:rsid w:val="5D266A2D"/>
    <w:rsid w:val="5D347546"/>
    <w:rsid w:val="5D3944A4"/>
    <w:rsid w:val="5D3D2138"/>
    <w:rsid w:val="5D470B92"/>
    <w:rsid w:val="5D60656E"/>
    <w:rsid w:val="5D650C9C"/>
    <w:rsid w:val="5D6C3F54"/>
    <w:rsid w:val="5D7F277D"/>
    <w:rsid w:val="5D8C4EA8"/>
    <w:rsid w:val="5D933F85"/>
    <w:rsid w:val="5DB30F9F"/>
    <w:rsid w:val="5DC43B05"/>
    <w:rsid w:val="5DD7417C"/>
    <w:rsid w:val="5DE127B5"/>
    <w:rsid w:val="5DE266B1"/>
    <w:rsid w:val="5DF79748"/>
    <w:rsid w:val="5DFF7CDD"/>
    <w:rsid w:val="5E106EBF"/>
    <w:rsid w:val="5E144B5D"/>
    <w:rsid w:val="5E1C4E23"/>
    <w:rsid w:val="5E1E4FAE"/>
    <w:rsid w:val="5E265CDA"/>
    <w:rsid w:val="5E4556ED"/>
    <w:rsid w:val="5E580E72"/>
    <w:rsid w:val="5E596668"/>
    <w:rsid w:val="5E5B5A8C"/>
    <w:rsid w:val="5E64340B"/>
    <w:rsid w:val="5E69110B"/>
    <w:rsid w:val="5E6F0542"/>
    <w:rsid w:val="5E7B13E6"/>
    <w:rsid w:val="5E7D366E"/>
    <w:rsid w:val="5E7E0331"/>
    <w:rsid w:val="5EB67AAF"/>
    <w:rsid w:val="5EB85BE0"/>
    <w:rsid w:val="5ECF70A4"/>
    <w:rsid w:val="5EEA876B"/>
    <w:rsid w:val="5EF2704A"/>
    <w:rsid w:val="5EF81D6A"/>
    <w:rsid w:val="5EFA1303"/>
    <w:rsid w:val="5EFF1BBA"/>
    <w:rsid w:val="5F0752C5"/>
    <w:rsid w:val="5F12792D"/>
    <w:rsid w:val="5F1A4DAE"/>
    <w:rsid w:val="5F2A2961"/>
    <w:rsid w:val="5F3D08D8"/>
    <w:rsid w:val="5F4235ED"/>
    <w:rsid w:val="5F4D3ADE"/>
    <w:rsid w:val="5F4D64B3"/>
    <w:rsid w:val="5F5B6AE1"/>
    <w:rsid w:val="5F5E464C"/>
    <w:rsid w:val="5F620B16"/>
    <w:rsid w:val="5F686069"/>
    <w:rsid w:val="5F6B53D1"/>
    <w:rsid w:val="5F701E1C"/>
    <w:rsid w:val="5F71525F"/>
    <w:rsid w:val="5F7810AE"/>
    <w:rsid w:val="5FAE6CD1"/>
    <w:rsid w:val="5FAFFB8E"/>
    <w:rsid w:val="5FBA4281"/>
    <w:rsid w:val="5FC14437"/>
    <w:rsid w:val="5FDA0188"/>
    <w:rsid w:val="5FDD74F6"/>
    <w:rsid w:val="5FE40AE9"/>
    <w:rsid w:val="5FE67992"/>
    <w:rsid w:val="60000DF2"/>
    <w:rsid w:val="601B27C6"/>
    <w:rsid w:val="602111FB"/>
    <w:rsid w:val="602A7695"/>
    <w:rsid w:val="60333F03"/>
    <w:rsid w:val="603A2B3D"/>
    <w:rsid w:val="60490F58"/>
    <w:rsid w:val="604E43D7"/>
    <w:rsid w:val="604E7994"/>
    <w:rsid w:val="60506256"/>
    <w:rsid w:val="60574EDB"/>
    <w:rsid w:val="608F3292"/>
    <w:rsid w:val="609D7503"/>
    <w:rsid w:val="60D535FB"/>
    <w:rsid w:val="60D61F7D"/>
    <w:rsid w:val="60E168F8"/>
    <w:rsid w:val="60F65E7A"/>
    <w:rsid w:val="60F90578"/>
    <w:rsid w:val="61160C46"/>
    <w:rsid w:val="61222018"/>
    <w:rsid w:val="612A2FCC"/>
    <w:rsid w:val="6137439C"/>
    <w:rsid w:val="613951B7"/>
    <w:rsid w:val="61415AA3"/>
    <w:rsid w:val="61464655"/>
    <w:rsid w:val="6152466E"/>
    <w:rsid w:val="61594C7B"/>
    <w:rsid w:val="616A4751"/>
    <w:rsid w:val="61721FFF"/>
    <w:rsid w:val="618160D8"/>
    <w:rsid w:val="6182771A"/>
    <w:rsid w:val="618716FC"/>
    <w:rsid w:val="618D626F"/>
    <w:rsid w:val="61A22269"/>
    <w:rsid w:val="61B928B5"/>
    <w:rsid w:val="61C84700"/>
    <w:rsid w:val="61CA13F2"/>
    <w:rsid w:val="61F37617"/>
    <w:rsid w:val="61F441D2"/>
    <w:rsid w:val="6208312D"/>
    <w:rsid w:val="6214414D"/>
    <w:rsid w:val="621553F0"/>
    <w:rsid w:val="6218556D"/>
    <w:rsid w:val="62363112"/>
    <w:rsid w:val="623C3BCA"/>
    <w:rsid w:val="623F5A12"/>
    <w:rsid w:val="624A3116"/>
    <w:rsid w:val="62521D6B"/>
    <w:rsid w:val="627A5A93"/>
    <w:rsid w:val="627F65B3"/>
    <w:rsid w:val="62885AA5"/>
    <w:rsid w:val="628A2EAE"/>
    <w:rsid w:val="62A41EF6"/>
    <w:rsid w:val="62AA0DC2"/>
    <w:rsid w:val="62C63682"/>
    <w:rsid w:val="62C86783"/>
    <w:rsid w:val="62CB2397"/>
    <w:rsid w:val="62D64AD2"/>
    <w:rsid w:val="62E935FB"/>
    <w:rsid w:val="62EB76AC"/>
    <w:rsid w:val="62EF36F4"/>
    <w:rsid w:val="62F075E2"/>
    <w:rsid w:val="63055A4A"/>
    <w:rsid w:val="630864B2"/>
    <w:rsid w:val="631645E9"/>
    <w:rsid w:val="63173E8F"/>
    <w:rsid w:val="631B2038"/>
    <w:rsid w:val="631F62A1"/>
    <w:rsid w:val="63201D57"/>
    <w:rsid w:val="634C48C0"/>
    <w:rsid w:val="634D015F"/>
    <w:rsid w:val="63694BB0"/>
    <w:rsid w:val="636B0E0D"/>
    <w:rsid w:val="636E1883"/>
    <w:rsid w:val="6394590E"/>
    <w:rsid w:val="63976356"/>
    <w:rsid w:val="6399788A"/>
    <w:rsid w:val="63CC7253"/>
    <w:rsid w:val="63DD2F7E"/>
    <w:rsid w:val="63F12AA3"/>
    <w:rsid w:val="64061CC7"/>
    <w:rsid w:val="64113723"/>
    <w:rsid w:val="641235FB"/>
    <w:rsid w:val="641375F5"/>
    <w:rsid w:val="641D63C9"/>
    <w:rsid w:val="64332B90"/>
    <w:rsid w:val="644452B0"/>
    <w:rsid w:val="649B1169"/>
    <w:rsid w:val="649E1B74"/>
    <w:rsid w:val="64B36025"/>
    <w:rsid w:val="64D30930"/>
    <w:rsid w:val="64F618B8"/>
    <w:rsid w:val="65072E4E"/>
    <w:rsid w:val="65415FCF"/>
    <w:rsid w:val="65573663"/>
    <w:rsid w:val="655B46AF"/>
    <w:rsid w:val="65604F7A"/>
    <w:rsid w:val="65625732"/>
    <w:rsid w:val="65707E81"/>
    <w:rsid w:val="6574284F"/>
    <w:rsid w:val="657F9D03"/>
    <w:rsid w:val="65892F5E"/>
    <w:rsid w:val="658C182D"/>
    <w:rsid w:val="658C1C4C"/>
    <w:rsid w:val="659249F4"/>
    <w:rsid w:val="65940BEF"/>
    <w:rsid w:val="65A07523"/>
    <w:rsid w:val="65CA3455"/>
    <w:rsid w:val="65D27E7B"/>
    <w:rsid w:val="65DA3A2D"/>
    <w:rsid w:val="65EB7798"/>
    <w:rsid w:val="65EF31A7"/>
    <w:rsid w:val="65EF7C0F"/>
    <w:rsid w:val="66096A7B"/>
    <w:rsid w:val="66147A59"/>
    <w:rsid w:val="66211D49"/>
    <w:rsid w:val="66251199"/>
    <w:rsid w:val="662B3CC5"/>
    <w:rsid w:val="66302AAC"/>
    <w:rsid w:val="66425CE7"/>
    <w:rsid w:val="66467A68"/>
    <w:rsid w:val="66496864"/>
    <w:rsid w:val="665051DA"/>
    <w:rsid w:val="666467CE"/>
    <w:rsid w:val="66695262"/>
    <w:rsid w:val="66706C46"/>
    <w:rsid w:val="66746B50"/>
    <w:rsid w:val="669575B1"/>
    <w:rsid w:val="669D698A"/>
    <w:rsid w:val="66B11C41"/>
    <w:rsid w:val="66C032F9"/>
    <w:rsid w:val="66C10718"/>
    <w:rsid w:val="66DC59B0"/>
    <w:rsid w:val="66EC3B94"/>
    <w:rsid w:val="66EE2459"/>
    <w:rsid w:val="66EF3F29"/>
    <w:rsid w:val="66F4345D"/>
    <w:rsid w:val="67081609"/>
    <w:rsid w:val="6712435E"/>
    <w:rsid w:val="671F449B"/>
    <w:rsid w:val="672D6296"/>
    <w:rsid w:val="67367CDB"/>
    <w:rsid w:val="673F464F"/>
    <w:rsid w:val="67400492"/>
    <w:rsid w:val="67590953"/>
    <w:rsid w:val="675F3FA8"/>
    <w:rsid w:val="676538AE"/>
    <w:rsid w:val="676C2561"/>
    <w:rsid w:val="677E15A0"/>
    <w:rsid w:val="6783318C"/>
    <w:rsid w:val="6784331A"/>
    <w:rsid w:val="678959CE"/>
    <w:rsid w:val="678F7D96"/>
    <w:rsid w:val="67B353CB"/>
    <w:rsid w:val="67CC2ED2"/>
    <w:rsid w:val="67EE091F"/>
    <w:rsid w:val="67F80051"/>
    <w:rsid w:val="67FF7209"/>
    <w:rsid w:val="68146182"/>
    <w:rsid w:val="68174CB5"/>
    <w:rsid w:val="68426651"/>
    <w:rsid w:val="68517436"/>
    <w:rsid w:val="68522628"/>
    <w:rsid w:val="685F3591"/>
    <w:rsid w:val="686332D8"/>
    <w:rsid w:val="68A30296"/>
    <w:rsid w:val="68A62096"/>
    <w:rsid w:val="68B91F25"/>
    <w:rsid w:val="68DC77D0"/>
    <w:rsid w:val="68F605CA"/>
    <w:rsid w:val="69083CDF"/>
    <w:rsid w:val="690E48BC"/>
    <w:rsid w:val="69295DAC"/>
    <w:rsid w:val="6932017B"/>
    <w:rsid w:val="695731F1"/>
    <w:rsid w:val="69637F2F"/>
    <w:rsid w:val="69783117"/>
    <w:rsid w:val="697B624F"/>
    <w:rsid w:val="69805074"/>
    <w:rsid w:val="69846A76"/>
    <w:rsid w:val="698A45F4"/>
    <w:rsid w:val="69971D5F"/>
    <w:rsid w:val="69A413B5"/>
    <w:rsid w:val="69C634C1"/>
    <w:rsid w:val="69C7142E"/>
    <w:rsid w:val="69D7207E"/>
    <w:rsid w:val="69DB0F08"/>
    <w:rsid w:val="69F12294"/>
    <w:rsid w:val="69F37F5E"/>
    <w:rsid w:val="69F96ADC"/>
    <w:rsid w:val="69FA3085"/>
    <w:rsid w:val="6A020492"/>
    <w:rsid w:val="6A2028C0"/>
    <w:rsid w:val="6A346A73"/>
    <w:rsid w:val="6A7360BD"/>
    <w:rsid w:val="6A80600F"/>
    <w:rsid w:val="6A8C30AB"/>
    <w:rsid w:val="6A8F1EF4"/>
    <w:rsid w:val="6A930C27"/>
    <w:rsid w:val="6AAB618B"/>
    <w:rsid w:val="6AAC0791"/>
    <w:rsid w:val="6AB07C58"/>
    <w:rsid w:val="6ABA1E5A"/>
    <w:rsid w:val="6ABC7E6A"/>
    <w:rsid w:val="6AC203B6"/>
    <w:rsid w:val="6ACE3D74"/>
    <w:rsid w:val="6AD201A6"/>
    <w:rsid w:val="6AD53D9B"/>
    <w:rsid w:val="6ADA0DCC"/>
    <w:rsid w:val="6ADA2028"/>
    <w:rsid w:val="6AE469C8"/>
    <w:rsid w:val="6AEA396F"/>
    <w:rsid w:val="6AF60A11"/>
    <w:rsid w:val="6B067DEA"/>
    <w:rsid w:val="6B14235F"/>
    <w:rsid w:val="6B2053C1"/>
    <w:rsid w:val="6B241FB0"/>
    <w:rsid w:val="6B26675F"/>
    <w:rsid w:val="6B2E0A9F"/>
    <w:rsid w:val="6B5023F2"/>
    <w:rsid w:val="6B517BF5"/>
    <w:rsid w:val="6B565E8F"/>
    <w:rsid w:val="6B590DF5"/>
    <w:rsid w:val="6B6273CB"/>
    <w:rsid w:val="6B7B0D18"/>
    <w:rsid w:val="6B9423C0"/>
    <w:rsid w:val="6BA92104"/>
    <w:rsid w:val="6BAD220A"/>
    <w:rsid w:val="6BBF1187"/>
    <w:rsid w:val="6BC04DD7"/>
    <w:rsid w:val="6BC45537"/>
    <w:rsid w:val="6BCC078D"/>
    <w:rsid w:val="6BCD262B"/>
    <w:rsid w:val="6BCE3284"/>
    <w:rsid w:val="6BD50486"/>
    <w:rsid w:val="6BD86E27"/>
    <w:rsid w:val="6BDD7BDD"/>
    <w:rsid w:val="6BE022E5"/>
    <w:rsid w:val="6BE86473"/>
    <w:rsid w:val="6BE97FB6"/>
    <w:rsid w:val="6BEDDF8D"/>
    <w:rsid w:val="6BF230E7"/>
    <w:rsid w:val="6C00173C"/>
    <w:rsid w:val="6C0456FF"/>
    <w:rsid w:val="6C086F1B"/>
    <w:rsid w:val="6C0F1F71"/>
    <w:rsid w:val="6C130552"/>
    <w:rsid w:val="6C1C3839"/>
    <w:rsid w:val="6C2A1B00"/>
    <w:rsid w:val="6C363299"/>
    <w:rsid w:val="6C490F39"/>
    <w:rsid w:val="6C49732B"/>
    <w:rsid w:val="6C55069C"/>
    <w:rsid w:val="6C5D1D5A"/>
    <w:rsid w:val="6C6B7027"/>
    <w:rsid w:val="6C713AD5"/>
    <w:rsid w:val="6C747B55"/>
    <w:rsid w:val="6C8C309A"/>
    <w:rsid w:val="6CA3394E"/>
    <w:rsid w:val="6CA371FA"/>
    <w:rsid w:val="6CAF5794"/>
    <w:rsid w:val="6CC64BDB"/>
    <w:rsid w:val="6CFF5132"/>
    <w:rsid w:val="6D015666"/>
    <w:rsid w:val="6D1D54F6"/>
    <w:rsid w:val="6D1E1EE6"/>
    <w:rsid w:val="6D260C17"/>
    <w:rsid w:val="6D2838B6"/>
    <w:rsid w:val="6D2A4C3B"/>
    <w:rsid w:val="6D4D4128"/>
    <w:rsid w:val="6D616D37"/>
    <w:rsid w:val="6D625D3E"/>
    <w:rsid w:val="6D65199F"/>
    <w:rsid w:val="6D712297"/>
    <w:rsid w:val="6D893626"/>
    <w:rsid w:val="6D9C694F"/>
    <w:rsid w:val="6D9D3405"/>
    <w:rsid w:val="6DA52F22"/>
    <w:rsid w:val="6DAC0151"/>
    <w:rsid w:val="6DB83667"/>
    <w:rsid w:val="6DCE7548"/>
    <w:rsid w:val="6DDC53DC"/>
    <w:rsid w:val="6DE40D65"/>
    <w:rsid w:val="6DE43C6A"/>
    <w:rsid w:val="6DF15F43"/>
    <w:rsid w:val="6E0569AE"/>
    <w:rsid w:val="6E1A317D"/>
    <w:rsid w:val="6E1F259C"/>
    <w:rsid w:val="6E277C2E"/>
    <w:rsid w:val="6E385941"/>
    <w:rsid w:val="6E4325D5"/>
    <w:rsid w:val="6E432905"/>
    <w:rsid w:val="6E4F071B"/>
    <w:rsid w:val="6E641ABF"/>
    <w:rsid w:val="6E693442"/>
    <w:rsid w:val="6E9D2065"/>
    <w:rsid w:val="6EA35D71"/>
    <w:rsid w:val="6EA41962"/>
    <w:rsid w:val="6EAA3D26"/>
    <w:rsid w:val="6EAB2FEF"/>
    <w:rsid w:val="6EB10893"/>
    <w:rsid w:val="6EB3661D"/>
    <w:rsid w:val="6EB6572B"/>
    <w:rsid w:val="6EB80079"/>
    <w:rsid w:val="6EC172FA"/>
    <w:rsid w:val="6EC55BDA"/>
    <w:rsid w:val="6ECE6E7E"/>
    <w:rsid w:val="6ED04C29"/>
    <w:rsid w:val="6ED7438B"/>
    <w:rsid w:val="6ED9628C"/>
    <w:rsid w:val="6EEA1143"/>
    <w:rsid w:val="6EED1574"/>
    <w:rsid w:val="6EF01BB0"/>
    <w:rsid w:val="6EFB12F9"/>
    <w:rsid w:val="6F1574E8"/>
    <w:rsid w:val="6F390348"/>
    <w:rsid w:val="6F3F1AE9"/>
    <w:rsid w:val="6F4E5822"/>
    <w:rsid w:val="6F5C0FE4"/>
    <w:rsid w:val="6F691B62"/>
    <w:rsid w:val="6F6F23B0"/>
    <w:rsid w:val="6F882CE0"/>
    <w:rsid w:val="6F8B3055"/>
    <w:rsid w:val="6FA97570"/>
    <w:rsid w:val="6FC13D2F"/>
    <w:rsid w:val="6FDF6B90"/>
    <w:rsid w:val="6FF66629"/>
    <w:rsid w:val="70187763"/>
    <w:rsid w:val="7024747A"/>
    <w:rsid w:val="702C4EDD"/>
    <w:rsid w:val="703033EE"/>
    <w:rsid w:val="70602F62"/>
    <w:rsid w:val="708F6EF6"/>
    <w:rsid w:val="70A17CF9"/>
    <w:rsid w:val="70A32E56"/>
    <w:rsid w:val="70BE49EE"/>
    <w:rsid w:val="70CF6F0E"/>
    <w:rsid w:val="71103A13"/>
    <w:rsid w:val="7121748E"/>
    <w:rsid w:val="71236321"/>
    <w:rsid w:val="712604CC"/>
    <w:rsid w:val="71365329"/>
    <w:rsid w:val="71390A8A"/>
    <w:rsid w:val="713D3C5D"/>
    <w:rsid w:val="715E70C7"/>
    <w:rsid w:val="717A06FE"/>
    <w:rsid w:val="71911ACE"/>
    <w:rsid w:val="71930847"/>
    <w:rsid w:val="71960BB3"/>
    <w:rsid w:val="719F4B0B"/>
    <w:rsid w:val="71BF77AC"/>
    <w:rsid w:val="71C25418"/>
    <w:rsid w:val="71D86BEE"/>
    <w:rsid w:val="71E3731D"/>
    <w:rsid w:val="71F3564F"/>
    <w:rsid w:val="71FB6593"/>
    <w:rsid w:val="71FB733B"/>
    <w:rsid w:val="7201298D"/>
    <w:rsid w:val="72063B79"/>
    <w:rsid w:val="72095EB7"/>
    <w:rsid w:val="722E5EFC"/>
    <w:rsid w:val="722F16FA"/>
    <w:rsid w:val="72450C8B"/>
    <w:rsid w:val="72453A18"/>
    <w:rsid w:val="72545C1F"/>
    <w:rsid w:val="72593FDA"/>
    <w:rsid w:val="72620B7C"/>
    <w:rsid w:val="726F31E1"/>
    <w:rsid w:val="7278034E"/>
    <w:rsid w:val="727B55F5"/>
    <w:rsid w:val="72821ED9"/>
    <w:rsid w:val="729510B8"/>
    <w:rsid w:val="72A06A61"/>
    <w:rsid w:val="72A453EF"/>
    <w:rsid w:val="72A77F48"/>
    <w:rsid w:val="72C974B3"/>
    <w:rsid w:val="72E14071"/>
    <w:rsid w:val="72FC7101"/>
    <w:rsid w:val="72FF2CED"/>
    <w:rsid w:val="73016974"/>
    <w:rsid w:val="730D633F"/>
    <w:rsid w:val="73146997"/>
    <w:rsid w:val="73183280"/>
    <w:rsid w:val="73330ACD"/>
    <w:rsid w:val="733933EA"/>
    <w:rsid w:val="73464FA2"/>
    <w:rsid w:val="73491D91"/>
    <w:rsid w:val="7349402E"/>
    <w:rsid w:val="734F0716"/>
    <w:rsid w:val="73670A15"/>
    <w:rsid w:val="736965ED"/>
    <w:rsid w:val="737E50F8"/>
    <w:rsid w:val="73A85F87"/>
    <w:rsid w:val="73AC6191"/>
    <w:rsid w:val="73C53F4F"/>
    <w:rsid w:val="73DA1C9D"/>
    <w:rsid w:val="73EE5D6F"/>
    <w:rsid w:val="73FE169F"/>
    <w:rsid w:val="73FF745D"/>
    <w:rsid w:val="74141749"/>
    <w:rsid w:val="743871E9"/>
    <w:rsid w:val="743E3CB8"/>
    <w:rsid w:val="74404FD9"/>
    <w:rsid w:val="746674B2"/>
    <w:rsid w:val="74907AC6"/>
    <w:rsid w:val="74910525"/>
    <w:rsid w:val="74A04704"/>
    <w:rsid w:val="74B72A27"/>
    <w:rsid w:val="74C41409"/>
    <w:rsid w:val="74D7195D"/>
    <w:rsid w:val="74D82714"/>
    <w:rsid w:val="74DA507D"/>
    <w:rsid w:val="74E121C8"/>
    <w:rsid w:val="74EE733E"/>
    <w:rsid w:val="750B3348"/>
    <w:rsid w:val="7529545F"/>
    <w:rsid w:val="753804CB"/>
    <w:rsid w:val="753D3AAF"/>
    <w:rsid w:val="75561C57"/>
    <w:rsid w:val="7579250B"/>
    <w:rsid w:val="7585189F"/>
    <w:rsid w:val="758A613B"/>
    <w:rsid w:val="758C7172"/>
    <w:rsid w:val="75935376"/>
    <w:rsid w:val="75B32FE8"/>
    <w:rsid w:val="75C42A3D"/>
    <w:rsid w:val="75DA24E8"/>
    <w:rsid w:val="75E42144"/>
    <w:rsid w:val="75E54690"/>
    <w:rsid w:val="75EB1D2A"/>
    <w:rsid w:val="75FE1E17"/>
    <w:rsid w:val="76127C41"/>
    <w:rsid w:val="761E3978"/>
    <w:rsid w:val="76354B37"/>
    <w:rsid w:val="765E3C4B"/>
    <w:rsid w:val="766944BB"/>
    <w:rsid w:val="767E72AE"/>
    <w:rsid w:val="767F084F"/>
    <w:rsid w:val="76824AED"/>
    <w:rsid w:val="7683641E"/>
    <w:rsid w:val="7685796D"/>
    <w:rsid w:val="768630E5"/>
    <w:rsid w:val="768E1B84"/>
    <w:rsid w:val="76903369"/>
    <w:rsid w:val="769E0296"/>
    <w:rsid w:val="76A307D5"/>
    <w:rsid w:val="76BD785D"/>
    <w:rsid w:val="76C16503"/>
    <w:rsid w:val="76F812F1"/>
    <w:rsid w:val="77060CAC"/>
    <w:rsid w:val="77116785"/>
    <w:rsid w:val="7757361A"/>
    <w:rsid w:val="775A7877"/>
    <w:rsid w:val="77625D3F"/>
    <w:rsid w:val="777B22B7"/>
    <w:rsid w:val="779644B2"/>
    <w:rsid w:val="779C3553"/>
    <w:rsid w:val="77AC3FF6"/>
    <w:rsid w:val="77AF404A"/>
    <w:rsid w:val="77B1440F"/>
    <w:rsid w:val="77B25F12"/>
    <w:rsid w:val="77DC5670"/>
    <w:rsid w:val="77E95F45"/>
    <w:rsid w:val="77EE5283"/>
    <w:rsid w:val="77F41741"/>
    <w:rsid w:val="77F76DF6"/>
    <w:rsid w:val="7809769F"/>
    <w:rsid w:val="78130BDC"/>
    <w:rsid w:val="782A0728"/>
    <w:rsid w:val="78433018"/>
    <w:rsid w:val="784B2980"/>
    <w:rsid w:val="785226B2"/>
    <w:rsid w:val="78666BD6"/>
    <w:rsid w:val="78845F28"/>
    <w:rsid w:val="78961D67"/>
    <w:rsid w:val="789814B3"/>
    <w:rsid w:val="789869CA"/>
    <w:rsid w:val="789A2E97"/>
    <w:rsid w:val="78A320E7"/>
    <w:rsid w:val="78A77C2E"/>
    <w:rsid w:val="78AF275A"/>
    <w:rsid w:val="78B66ED0"/>
    <w:rsid w:val="78D00C09"/>
    <w:rsid w:val="78D338EA"/>
    <w:rsid w:val="78DC3F0F"/>
    <w:rsid w:val="78F719D5"/>
    <w:rsid w:val="78FE2EB8"/>
    <w:rsid w:val="790709F9"/>
    <w:rsid w:val="790B543D"/>
    <w:rsid w:val="792325C0"/>
    <w:rsid w:val="79391308"/>
    <w:rsid w:val="79474D12"/>
    <w:rsid w:val="79545CA5"/>
    <w:rsid w:val="795843F7"/>
    <w:rsid w:val="795D4C39"/>
    <w:rsid w:val="79646C48"/>
    <w:rsid w:val="797E275B"/>
    <w:rsid w:val="798F4F3F"/>
    <w:rsid w:val="799719D2"/>
    <w:rsid w:val="79A3631A"/>
    <w:rsid w:val="79AF3DAC"/>
    <w:rsid w:val="79C4416A"/>
    <w:rsid w:val="79C7537E"/>
    <w:rsid w:val="79D83C42"/>
    <w:rsid w:val="79DEC633"/>
    <w:rsid w:val="79F5111B"/>
    <w:rsid w:val="7A072651"/>
    <w:rsid w:val="7A09775A"/>
    <w:rsid w:val="7A0E1E55"/>
    <w:rsid w:val="7A332F05"/>
    <w:rsid w:val="7A3F51D0"/>
    <w:rsid w:val="7A465188"/>
    <w:rsid w:val="7A4A4899"/>
    <w:rsid w:val="7A4D3D91"/>
    <w:rsid w:val="7A6601CB"/>
    <w:rsid w:val="7A6D3C4D"/>
    <w:rsid w:val="7A8C5698"/>
    <w:rsid w:val="7A8D4C4C"/>
    <w:rsid w:val="7AB06118"/>
    <w:rsid w:val="7ABF4D9B"/>
    <w:rsid w:val="7AC90333"/>
    <w:rsid w:val="7AD73722"/>
    <w:rsid w:val="7ADD5856"/>
    <w:rsid w:val="7AFF29A1"/>
    <w:rsid w:val="7B0B3F39"/>
    <w:rsid w:val="7B134303"/>
    <w:rsid w:val="7B137C0E"/>
    <w:rsid w:val="7B201609"/>
    <w:rsid w:val="7B284331"/>
    <w:rsid w:val="7B3A7149"/>
    <w:rsid w:val="7B3B078B"/>
    <w:rsid w:val="7B4262DA"/>
    <w:rsid w:val="7B795C4B"/>
    <w:rsid w:val="7B8241A4"/>
    <w:rsid w:val="7B8708D4"/>
    <w:rsid w:val="7B89299B"/>
    <w:rsid w:val="7B8A364D"/>
    <w:rsid w:val="7B917182"/>
    <w:rsid w:val="7B9B66FC"/>
    <w:rsid w:val="7B9C68A1"/>
    <w:rsid w:val="7BB421AE"/>
    <w:rsid w:val="7BB72900"/>
    <w:rsid w:val="7BC41432"/>
    <w:rsid w:val="7BD02052"/>
    <w:rsid w:val="7BD37EB2"/>
    <w:rsid w:val="7BD41565"/>
    <w:rsid w:val="7BD654F1"/>
    <w:rsid w:val="7BD72352"/>
    <w:rsid w:val="7BE05C3A"/>
    <w:rsid w:val="7BE555D8"/>
    <w:rsid w:val="7BE968CE"/>
    <w:rsid w:val="7BEA5032"/>
    <w:rsid w:val="7C067303"/>
    <w:rsid w:val="7C0B1ADC"/>
    <w:rsid w:val="7C134256"/>
    <w:rsid w:val="7C30421E"/>
    <w:rsid w:val="7C3115C6"/>
    <w:rsid w:val="7C381945"/>
    <w:rsid w:val="7C3D3EDD"/>
    <w:rsid w:val="7C414CEA"/>
    <w:rsid w:val="7C4E68C0"/>
    <w:rsid w:val="7C5943DA"/>
    <w:rsid w:val="7C825752"/>
    <w:rsid w:val="7C905C66"/>
    <w:rsid w:val="7C941B61"/>
    <w:rsid w:val="7C9D6600"/>
    <w:rsid w:val="7CA52E5D"/>
    <w:rsid w:val="7CBB74D6"/>
    <w:rsid w:val="7CC76DCA"/>
    <w:rsid w:val="7CD00706"/>
    <w:rsid w:val="7CD52FDD"/>
    <w:rsid w:val="7CDC7139"/>
    <w:rsid w:val="7CE352F8"/>
    <w:rsid w:val="7CEF2BA7"/>
    <w:rsid w:val="7CF6621D"/>
    <w:rsid w:val="7CFE6F03"/>
    <w:rsid w:val="7D0E0C33"/>
    <w:rsid w:val="7D1076A6"/>
    <w:rsid w:val="7D157991"/>
    <w:rsid w:val="7D1B0717"/>
    <w:rsid w:val="7D207C2A"/>
    <w:rsid w:val="7D2173C9"/>
    <w:rsid w:val="7D265691"/>
    <w:rsid w:val="7D2D4480"/>
    <w:rsid w:val="7D306C74"/>
    <w:rsid w:val="7D3E5957"/>
    <w:rsid w:val="7D541E65"/>
    <w:rsid w:val="7D6470F4"/>
    <w:rsid w:val="7D6C40AC"/>
    <w:rsid w:val="7D7758DC"/>
    <w:rsid w:val="7D9E7F8E"/>
    <w:rsid w:val="7DA75919"/>
    <w:rsid w:val="7DAE5206"/>
    <w:rsid w:val="7DB61F38"/>
    <w:rsid w:val="7DB7680D"/>
    <w:rsid w:val="7DBB5D03"/>
    <w:rsid w:val="7DD02BC6"/>
    <w:rsid w:val="7DD6433B"/>
    <w:rsid w:val="7DE65232"/>
    <w:rsid w:val="7DE7E9E8"/>
    <w:rsid w:val="7E040169"/>
    <w:rsid w:val="7E1806AE"/>
    <w:rsid w:val="7E233BEC"/>
    <w:rsid w:val="7E2846F3"/>
    <w:rsid w:val="7E312815"/>
    <w:rsid w:val="7E3A3F66"/>
    <w:rsid w:val="7E3F34CD"/>
    <w:rsid w:val="7E64213E"/>
    <w:rsid w:val="7E6D091D"/>
    <w:rsid w:val="7E705507"/>
    <w:rsid w:val="7E742776"/>
    <w:rsid w:val="7E804411"/>
    <w:rsid w:val="7E8E2C6E"/>
    <w:rsid w:val="7EB8380F"/>
    <w:rsid w:val="7EB86BFD"/>
    <w:rsid w:val="7EC12AAE"/>
    <w:rsid w:val="7EDF1D50"/>
    <w:rsid w:val="7EDF3512"/>
    <w:rsid w:val="7EE16048"/>
    <w:rsid w:val="7EE222F8"/>
    <w:rsid w:val="7EE67724"/>
    <w:rsid w:val="7EFB47CC"/>
    <w:rsid w:val="7F0A499B"/>
    <w:rsid w:val="7F2221F2"/>
    <w:rsid w:val="7F256996"/>
    <w:rsid w:val="7F303172"/>
    <w:rsid w:val="7F48282E"/>
    <w:rsid w:val="7F4F7BE5"/>
    <w:rsid w:val="7F6E523B"/>
    <w:rsid w:val="7F7607CB"/>
    <w:rsid w:val="7F7F45FD"/>
    <w:rsid w:val="7F914B43"/>
    <w:rsid w:val="7F975B6B"/>
    <w:rsid w:val="7F9E7091"/>
    <w:rsid w:val="7FA30DF1"/>
    <w:rsid w:val="7FB22A1B"/>
    <w:rsid w:val="7FB7BA05"/>
    <w:rsid w:val="7FBA2C28"/>
    <w:rsid w:val="7FC31093"/>
    <w:rsid w:val="7FE266DE"/>
    <w:rsid w:val="7FE31164"/>
    <w:rsid w:val="7FE63F27"/>
    <w:rsid w:val="7FEFA0A8"/>
    <w:rsid w:val="7FF624EB"/>
    <w:rsid w:val="7FFB1167"/>
    <w:rsid w:val="7FFD026B"/>
    <w:rsid w:val="7FFE6529"/>
    <w:rsid w:val="87371238"/>
    <w:rsid w:val="979F7B13"/>
    <w:rsid w:val="9AA6EDB0"/>
    <w:rsid w:val="AEFF255A"/>
    <w:rsid w:val="AFFD08FA"/>
    <w:rsid w:val="B17EFE50"/>
    <w:rsid w:val="B9DAC714"/>
    <w:rsid w:val="BC9FBCB6"/>
    <w:rsid w:val="BE7F437B"/>
    <w:rsid w:val="BEEF771A"/>
    <w:rsid w:val="C4E55803"/>
    <w:rsid w:val="CBFB3941"/>
    <w:rsid w:val="CEDEBB51"/>
    <w:rsid w:val="CFBC9485"/>
    <w:rsid w:val="D3BEF5F9"/>
    <w:rsid w:val="D5F91945"/>
    <w:rsid w:val="D86F3EF7"/>
    <w:rsid w:val="DBE9C70E"/>
    <w:rsid w:val="DF7FB0CF"/>
    <w:rsid w:val="DFD9738E"/>
    <w:rsid w:val="EBDDA288"/>
    <w:rsid w:val="ED876AB0"/>
    <w:rsid w:val="ED9D3A17"/>
    <w:rsid w:val="EDDB83A5"/>
    <w:rsid w:val="EEFF9F43"/>
    <w:rsid w:val="EFAE8521"/>
    <w:rsid w:val="EFF57FFF"/>
    <w:rsid w:val="EFFF4FED"/>
    <w:rsid w:val="F5C75121"/>
    <w:rsid w:val="F7F8A4EA"/>
    <w:rsid w:val="F9AD53BE"/>
    <w:rsid w:val="FABF45AB"/>
    <w:rsid w:val="FAFF1F0E"/>
    <w:rsid w:val="FB5E0D78"/>
    <w:rsid w:val="FBEFC563"/>
    <w:rsid w:val="FC7FB92A"/>
    <w:rsid w:val="FDBB80B3"/>
    <w:rsid w:val="FDFFB9ED"/>
    <w:rsid w:val="FEBF136D"/>
    <w:rsid w:val="FECE3E65"/>
    <w:rsid w:val="FEFB89BC"/>
    <w:rsid w:val="FEFFFB01"/>
    <w:rsid w:val="FF28139A"/>
    <w:rsid w:val="FF7FE995"/>
    <w:rsid w:val="FF9DCB64"/>
    <w:rsid w:val="FFBA3233"/>
    <w:rsid w:val="FFE25867"/>
    <w:rsid w:val="FFEADA19"/>
    <w:rsid w:val="FFEDAC33"/>
    <w:rsid w:val="FFEF2826"/>
    <w:rsid w:val="FFF31833"/>
    <w:rsid w:val="FFF62055"/>
    <w:rsid w:val="FFF6C37F"/>
    <w:rsid w:val="FFFE68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5">
    <w:name w:val="Plain Text"/>
    <w:basedOn w:val="1"/>
    <w:qFormat/>
    <w:uiPriority w:val="0"/>
    <w:rPr>
      <w:rFonts w:ascii="宋体" w:hAnsi="Courier New" w:cs="Courier New"/>
      <w:szCs w:val="21"/>
    </w:rPr>
  </w:style>
  <w:style w:type="paragraph" w:styleId="6">
    <w:name w:val="Balloon Text"/>
    <w:basedOn w:val="1"/>
    <w:link w:val="19"/>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Title"/>
    <w:basedOn w:val="1"/>
    <w:next w:val="3"/>
    <w:qFormat/>
    <w:uiPriority w:val="10"/>
    <w:pPr>
      <w:spacing w:before="240" w:after="60"/>
      <w:jc w:val="center"/>
      <w:outlineLvl w:val="0"/>
    </w:pPr>
    <w:rPr>
      <w:rFonts w:ascii="Arial" w:hAnsi="Arial"/>
      <w:b/>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页眉 字符"/>
    <w:basedOn w:val="12"/>
    <w:link w:val="8"/>
    <w:qFormat/>
    <w:uiPriority w:val="0"/>
    <w:rPr>
      <w:rFonts w:ascii="Calibri" w:hAnsi="Calibri" w:cs="黑体"/>
      <w:kern w:val="2"/>
      <w:sz w:val="18"/>
      <w:szCs w:val="18"/>
    </w:rPr>
  </w:style>
  <w:style w:type="character" w:customStyle="1" w:styleId="17">
    <w:name w:val="页脚 字符"/>
    <w:basedOn w:val="12"/>
    <w:link w:val="7"/>
    <w:qFormat/>
    <w:uiPriority w:val="0"/>
    <w:rPr>
      <w:rFonts w:ascii="Calibri" w:hAnsi="Calibri" w:cs="黑体"/>
      <w:kern w:val="2"/>
      <w:sz w:val="18"/>
      <w:szCs w:val="18"/>
    </w:rPr>
  </w:style>
  <w:style w:type="paragraph" w:styleId="18">
    <w:name w:val="List Paragraph"/>
    <w:basedOn w:val="1"/>
    <w:unhideWhenUsed/>
    <w:qFormat/>
    <w:uiPriority w:val="99"/>
    <w:pPr>
      <w:ind w:firstLine="420" w:firstLineChars="200"/>
    </w:pPr>
  </w:style>
  <w:style w:type="character" w:customStyle="1" w:styleId="19">
    <w:name w:val="批注框文本 字符"/>
    <w:basedOn w:val="12"/>
    <w:link w:val="6"/>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14688</Words>
  <Characters>14969</Characters>
  <Lines>134</Lines>
  <Paragraphs>37</Paragraphs>
  <TotalTime>8</TotalTime>
  <ScaleCrop>false</ScaleCrop>
  <LinksUpToDate>false</LinksUpToDate>
  <CharactersWithSpaces>15201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2019-12-10T08:37:00Z</dcterms:created>
  <dc:creator>鞋里的沙1388974074</dc:creator>
  <cp:lastModifiedBy>洋芋^O^</cp:lastModifiedBy>
  <cp:lastPrinted>2022-06-07T17:38:00Z</cp:lastPrinted>
  <dcterms:modified xsi:type="dcterms:W3CDTF">2022-06-07T10:35:15Z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CF8426F8B6604ED7A6D8DC34240FFF68</vt:lpwstr>
  </property>
</Properties>
</file>